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0EF6" w14:textId="152B9887" w:rsidR="0039297F" w:rsidRPr="00F32860" w:rsidRDefault="00586055" w:rsidP="00586055">
      <w:pPr>
        <w:pStyle w:val="Heading1"/>
        <w:spacing w:line="360" w:lineRule="auto"/>
        <w:jc w:val="center"/>
        <w:rPr>
          <w:rFonts w:ascii="Times New Roman" w:eastAsia="Times New Roman" w:hAnsi="Times New Roman" w:cs="Times New Roman"/>
          <w:color w:val="auto"/>
          <w:lang w:val="de-DE"/>
        </w:rPr>
      </w:pPr>
      <w:r w:rsidRPr="00586055">
        <w:rPr>
          <w:rFonts w:ascii="Times New Roman" w:eastAsia="Times New Roman" w:hAnsi="Times New Roman" w:cs="Times New Roman"/>
          <w:color w:val="auto"/>
          <w:lang w:val="de-DE"/>
        </w:rPr>
        <w:t>MEDIA POLITICAL COMMUNICATION: TEXTUAL ANALYSIS OF NEWS COVERAGE ON THE DEVELOPMENT OF MINING AREAS IN RAJA AMPAT</w:t>
      </w:r>
      <w:r>
        <w:rPr>
          <w:rFonts w:ascii="Times New Roman" w:eastAsia="Times New Roman" w:hAnsi="Times New Roman" w:cs="Times New Roman"/>
          <w:color w:val="auto"/>
          <w:lang w:val="de-DE"/>
        </w:rPr>
        <w:t xml:space="preserve"> </w:t>
      </w:r>
      <w:r w:rsidRPr="00586055">
        <w:rPr>
          <w:rFonts w:ascii="Times New Roman" w:eastAsia="Times New Roman" w:hAnsi="Times New Roman" w:cs="Times New Roman"/>
          <w:color w:val="auto"/>
          <w:lang w:val="de-DE"/>
        </w:rPr>
        <w:t>(COVERAGE ON TEMPO ONLINE AND MEDIA INDONESIA)</w:t>
      </w:r>
    </w:p>
    <w:p w14:paraId="4EAD7FAA" w14:textId="77777777" w:rsidR="00F32860" w:rsidRPr="00F32860" w:rsidRDefault="00F32860" w:rsidP="00F249B1">
      <w:pPr>
        <w:spacing w:line="360" w:lineRule="auto"/>
        <w:rPr>
          <w:lang w:val="de-DE" w:bidi="en-US"/>
        </w:rPr>
      </w:pPr>
    </w:p>
    <w:p w14:paraId="0501DFB1" w14:textId="477412B4" w:rsidR="0039297F" w:rsidRDefault="00586055" w:rsidP="00F249B1">
      <w:pPr>
        <w:spacing w:line="360" w:lineRule="auto"/>
        <w:jc w:val="center"/>
        <w:rPr>
          <w:rFonts w:eastAsia="Times New Roman"/>
          <w:bCs/>
          <w:lang w:val="de-DE"/>
        </w:rPr>
      </w:pPr>
      <w:bookmarkStart w:id="0" w:name="_Hlk216778381"/>
      <w:r w:rsidRPr="00586055">
        <w:rPr>
          <w:rFonts w:eastAsia="Times New Roman"/>
          <w:bCs/>
          <w:lang w:val="de-DE"/>
        </w:rPr>
        <w:t>Afina Ruqayyah</w:t>
      </w:r>
      <w:r w:rsidRPr="00586055">
        <w:rPr>
          <w:rFonts w:eastAsia="Times New Roman"/>
          <w:bCs/>
          <w:vertAlign w:val="superscript"/>
          <w:lang w:val="de-DE"/>
        </w:rPr>
        <w:t>1</w:t>
      </w:r>
      <w:bookmarkEnd w:id="0"/>
      <w:r>
        <w:rPr>
          <w:rFonts w:eastAsia="Times New Roman"/>
          <w:bCs/>
          <w:lang w:val="de-DE"/>
        </w:rPr>
        <w:t xml:space="preserve">, </w:t>
      </w:r>
      <w:r w:rsidRPr="00586055">
        <w:rPr>
          <w:rFonts w:eastAsia="Times New Roman"/>
          <w:bCs/>
          <w:lang w:val="de-DE"/>
        </w:rPr>
        <w:t>Rico Fernando Siregar</w:t>
      </w:r>
      <w:r w:rsidRPr="00586055">
        <w:rPr>
          <w:rFonts w:eastAsia="Times New Roman"/>
          <w:bCs/>
          <w:vertAlign w:val="superscript"/>
          <w:lang w:val="de-DE"/>
        </w:rPr>
        <w:t>2</w:t>
      </w:r>
    </w:p>
    <w:p w14:paraId="214E351A" w14:textId="77777777" w:rsidR="00E55D21" w:rsidRDefault="00E55D21" w:rsidP="00F249B1">
      <w:pPr>
        <w:spacing w:line="360" w:lineRule="auto"/>
        <w:jc w:val="center"/>
        <w:rPr>
          <w:rFonts w:eastAsia="Times New Roman"/>
          <w:bCs/>
          <w:lang w:val="de-DE"/>
        </w:rPr>
      </w:pPr>
    </w:p>
    <w:p w14:paraId="2EB26633" w14:textId="77777777" w:rsidR="005F52B8" w:rsidRPr="00CF36B3" w:rsidRDefault="005F52B8" w:rsidP="00F249B1">
      <w:pPr>
        <w:spacing w:line="360" w:lineRule="auto"/>
        <w:jc w:val="center"/>
        <w:rPr>
          <w:rFonts w:eastAsia="Times New Roman"/>
          <w:bCs/>
          <w:sz w:val="8"/>
          <w:szCs w:val="8"/>
          <w:lang w:val="de-DE"/>
        </w:rPr>
      </w:pPr>
    </w:p>
    <w:p w14:paraId="17B8CE56" w14:textId="3C225822" w:rsidR="0039297F" w:rsidRPr="00CF36B3" w:rsidRDefault="00586055" w:rsidP="00F249B1">
      <w:pPr>
        <w:spacing w:line="360" w:lineRule="auto"/>
        <w:jc w:val="center"/>
        <w:rPr>
          <w:rFonts w:asciiTheme="minorHAnsi" w:eastAsia="Times New Roman" w:hAnsiTheme="minorHAnsi" w:cstheme="minorHAnsi"/>
          <w:bCs/>
          <w:i/>
          <w:iCs/>
          <w:sz w:val="20"/>
          <w:szCs w:val="20"/>
          <w:lang w:val="de-DE"/>
        </w:rPr>
      </w:pPr>
      <w:r w:rsidRPr="00586055">
        <w:rPr>
          <w:rFonts w:asciiTheme="minorHAnsi" w:eastAsia="Times New Roman" w:hAnsiTheme="minorHAnsi" w:cstheme="minorHAnsi"/>
          <w:bCs/>
          <w:i/>
          <w:iCs/>
          <w:sz w:val="20"/>
          <w:szCs w:val="20"/>
          <w:vertAlign w:val="superscript"/>
          <w:lang w:val="de-DE"/>
        </w:rPr>
        <w:t>1,2</w:t>
      </w:r>
      <w:r w:rsidRPr="00586055">
        <w:rPr>
          <w:rFonts w:asciiTheme="minorHAnsi" w:eastAsia="Times New Roman" w:hAnsiTheme="minorHAnsi" w:cstheme="minorHAnsi"/>
          <w:bCs/>
          <w:i/>
          <w:iCs/>
          <w:sz w:val="20"/>
          <w:szCs w:val="20"/>
          <w:lang w:val="de-DE"/>
        </w:rPr>
        <w:t>Public Relations and Digital Communication, Jakarta State University, Jakarta, Indonesia</w:t>
      </w:r>
    </w:p>
    <w:p w14:paraId="662C8F44" w14:textId="320FF772" w:rsidR="0039297F" w:rsidRDefault="00FA7ED2" w:rsidP="00F249B1">
      <w:pPr>
        <w:spacing w:line="360" w:lineRule="auto"/>
        <w:jc w:val="center"/>
        <w:rPr>
          <w:rStyle w:val="Hyperlink"/>
          <w:rFonts w:asciiTheme="minorHAnsi" w:eastAsia="Times New Roman" w:hAnsiTheme="minorHAnsi" w:cstheme="minorHAnsi"/>
          <w:bCs/>
          <w:sz w:val="22"/>
          <w:szCs w:val="22"/>
          <w:lang w:val="de-DE"/>
        </w:rPr>
      </w:pPr>
      <w:hyperlink r:id="rId8" w:history="1">
        <w:r w:rsidR="00586055" w:rsidRPr="00681091">
          <w:rPr>
            <w:rStyle w:val="Hyperlink"/>
            <w:rFonts w:asciiTheme="minorHAnsi" w:eastAsia="Times New Roman" w:hAnsiTheme="minorHAnsi" w:cstheme="minorHAnsi"/>
            <w:bCs/>
            <w:sz w:val="22"/>
            <w:szCs w:val="22"/>
            <w:lang w:val="de-DE"/>
          </w:rPr>
          <w:t>Afina.ruqayyah@unj.ac.id</w:t>
        </w:r>
      </w:hyperlink>
    </w:p>
    <w:p w14:paraId="299494C0" w14:textId="781C6CAC" w:rsidR="00586055" w:rsidRPr="00586055" w:rsidRDefault="00FA7ED2" w:rsidP="00F249B1">
      <w:pPr>
        <w:spacing w:line="360" w:lineRule="auto"/>
        <w:jc w:val="center"/>
        <w:rPr>
          <w:rStyle w:val="Hyperlink"/>
        </w:rPr>
      </w:pPr>
      <w:hyperlink r:id="rId9" w:history="1">
        <w:r w:rsidR="00586055" w:rsidRPr="00586055">
          <w:rPr>
            <w:rStyle w:val="Hyperlink"/>
            <w:rFonts w:asciiTheme="minorHAnsi" w:eastAsia="Times New Roman" w:hAnsiTheme="minorHAnsi" w:cstheme="minorHAnsi"/>
            <w:bCs/>
            <w:sz w:val="22"/>
            <w:szCs w:val="22"/>
            <w:lang w:val="de-DE"/>
          </w:rPr>
          <w:t>rico.fernando@unj.ac.id</w:t>
        </w:r>
      </w:hyperlink>
    </w:p>
    <w:p w14:paraId="26AC8A2E" w14:textId="77777777" w:rsidR="001D0B3C" w:rsidRPr="005F52B8" w:rsidRDefault="001D0B3C" w:rsidP="00F249B1">
      <w:pPr>
        <w:spacing w:line="360" w:lineRule="auto"/>
        <w:jc w:val="center"/>
        <w:rPr>
          <w:rFonts w:eastAsia="Times New Roman"/>
          <w:lang w:val="de-DE"/>
        </w:rPr>
      </w:pPr>
    </w:p>
    <w:p w14:paraId="11EE14A7" w14:textId="02197356" w:rsidR="001D0B3C" w:rsidRPr="00987DC8" w:rsidRDefault="00987DC8" w:rsidP="00F249B1">
      <w:pPr>
        <w:jc w:val="center"/>
        <w:rPr>
          <w:rFonts w:eastAsia="Times New Roman"/>
          <w:b/>
          <w:i/>
          <w:iCs/>
          <w:lang w:val="de-DE"/>
        </w:rPr>
      </w:pPr>
      <w:r w:rsidRPr="00987DC8">
        <w:rPr>
          <w:rFonts w:eastAsia="Times New Roman"/>
          <w:b/>
          <w:i/>
          <w:iCs/>
          <w:lang w:val="de-DE"/>
        </w:rPr>
        <w:t>ABSTRACT</w:t>
      </w:r>
    </w:p>
    <w:p w14:paraId="4B895592" w14:textId="77777777" w:rsidR="00F249B1" w:rsidRPr="005F52B8" w:rsidRDefault="00F249B1" w:rsidP="00F249B1">
      <w:pPr>
        <w:rPr>
          <w:rFonts w:eastAsia="Times New Roman"/>
          <w:b/>
          <w:lang w:val="de-DE"/>
        </w:rPr>
      </w:pPr>
    </w:p>
    <w:p w14:paraId="2D72D32C" w14:textId="77777777" w:rsidR="00586055" w:rsidRPr="00586055" w:rsidRDefault="00586055" w:rsidP="00987DC8">
      <w:pPr>
        <w:spacing w:line="276" w:lineRule="auto"/>
        <w:jc w:val="both"/>
        <w:rPr>
          <w:lang w:val="de-DE"/>
        </w:rPr>
      </w:pPr>
      <w:r w:rsidRPr="00586055">
        <w:rPr>
          <w:lang w:val="de-DE"/>
        </w:rPr>
        <w:t>In his book "Mass Communication Theory", Denis McQuail explains that the emergence of internet technology has brought the spectrum of mass media into a new force of communication, influencing social integration, disintegration, and public enlightenment through information disseminated by mass media. Mass media cannot be separated from its role as a medium for advertising, entertainment, and as a tool for economic and political propaganda to influence public opinion on various issues.</w:t>
      </w:r>
    </w:p>
    <w:p w14:paraId="54D44F48" w14:textId="20131B73" w:rsidR="00586055" w:rsidRDefault="00586055" w:rsidP="00987DC8">
      <w:pPr>
        <w:spacing w:line="276" w:lineRule="auto"/>
        <w:jc w:val="both"/>
        <w:rPr>
          <w:lang w:val="de-DE"/>
        </w:rPr>
      </w:pPr>
      <w:r w:rsidRPr="00586055">
        <w:rPr>
          <w:lang w:val="de-DE"/>
        </w:rPr>
        <w:t>The issue of nickel mining activities in the Raja Ampat region in 2025, for example, was reported with different tones by Tempo and Media Indonesia. Tempo, known for its investigative journalism style and founded by liberal-minded figure Goenawan Mohamad, tends to portray the nickel mining issue with a negative sentiment. In contrast, Media Indonesia, owned by Surya Paloh and closely affiliated with the government, tends to frame the issue more positively. These differences in reporting perspectives align with the framework of media and society formation theory (Westley &amp; MacLean, 1957, in McQuail, 2010), which highlights the key determinants of media coverage, such as institutional control, organizational motives, involvement of other social institutions, and the portrayal of reality shaped by each institution’s “media logic.</w:t>
      </w:r>
    </w:p>
    <w:p w14:paraId="1810D1F6" w14:textId="77777777" w:rsidR="00586055" w:rsidRDefault="00586055" w:rsidP="00586055">
      <w:pPr>
        <w:jc w:val="both"/>
        <w:rPr>
          <w:lang w:val="de-DE"/>
        </w:rPr>
      </w:pPr>
    </w:p>
    <w:p w14:paraId="1E1A12ED" w14:textId="38CCB39B" w:rsidR="00AD25BA" w:rsidRPr="005F52B8" w:rsidRDefault="00AD25BA" w:rsidP="00F249B1">
      <w:pPr>
        <w:spacing w:line="360" w:lineRule="auto"/>
        <w:jc w:val="both"/>
        <w:rPr>
          <w:color w:val="000000" w:themeColor="text1"/>
          <w:lang w:val="de-DE"/>
        </w:rPr>
      </w:pPr>
      <w:r w:rsidRPr="008514B8">
        <w:rPr>
          <w:b/>
          <w:bCs/>
          <w:color w:val="000000" w:themeColor="text1"/>
          <w:lang w:val="de-DE"/>
        </w:rPr>
        <w:t>Kata Kunc</w:t>
      </w:r>
      <w:r w:rsidR="008514B8">
        <w:rPr>
          <w:b/>
          <w:bCs/>
          <w:color w:val="000000" w:themeColor="text1"/>
          <w:lang w:val="de-DE"/>
        </w:rPr>
        <w:t xml:space="preserve">i: </w:t>
      </w:r>
      <w:r w:rsidR="00586055" w:rsidRPr="00586055">
        <w:rPr>
          <w:color w:val="000000" w:themeColor="text1"/>
          <w:lang w:val="de-DE"/>
        </w:rPr>
        <w:t>Mass Media; Nickel Mining; Raja Ampat; Media Political Economy; Media and Society Formation Theory</w:t>
      </w:r>
    </w:p>
    <w:p w14:paraId="4674726F" w14:textId="77777777" w:rsidR="00AD25BA" w:rsidRPr="005F52B8" w:rsidRDefault="00AD25BA" w:rsidP="00F249B1">
      <w:pPr>
        <w:spacing w:line="360" w:lineRule="auto"/>
        <w:jc w:val="center"/>
        <w:rPr>
          <w:rFonts w:eastAsia="Times New Roman"/>
          <w:lang w:val="de-DE"/>
        </w:rPr>
      </w:pPr>
    </w:p>
    <w:p w14:paraId="2F43F525" w14:textId="5C64F6D3" w:rsidR="00652B02" w:rsidRPr="002712A1" w:rsidRDefault="00586055" w:rsidP="002712A1">
      <w:pPr>
        <w:pStyle w:val="Heading2"/>
        <w:rPr>
          <w:rFonts w:ascii="Times New Roman" w:eastAsia="Times New Roman" w:hAnsi="Times New Roman" w:cs="Times New Roman"/>
          <w:b/>
          <w:bCs/>
          <w:color w:val="auto"/>
          <w:sz w:val="24"/>
          <w:szCs w:val="24"/>
          <w:lang w:val="de-DE"/>
        </w:rPr>
      </w:pPr>
      <w:r>
        <w:rPr>
          <w:rFonts w:ascii="Times New Roman" w:eastAsia="Times New Roman" w:hAnsi="Times New Roman" w:cs="Times New Roman"/>
          <w:b/>
          <w:bCs/>
          <w:color w:val="auto"/>
          <w:sz w:val="24"/>
          <w:szCs w:val="24"/>
          <w:lang w:val="de-DE"/>
        </w:rPr>
        <w:t>INTRODUCTION</w:t>
      </w:r>
    </w:p>
    <w:p w14:paraId="62E20013" w14:textId="452149C4" w:rsidR="00586055" w:rsidRP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 xml:space="preserve">Framing theory as developed by Entman (1993) emphasizes how media select certain aspects of perceived reality and make them more salient in communication texts. In the context </w:t>
      </w:r>
      <w:r w:rsidRPr="00586055">
        <w:rPr>
          <w:color w:val="000000"/>
          <w:lang w:val="de-DE"/>
        </w:rPr>
        <w:lastRenderedPageBreak/>
        <w:t xml:space="preserve">of this study, framing analysis is not only used to identify the tone of coverage but also to examine lexical choices, sources, and structural composition of news articles. Pan and Kosicki (1993) argue that framing involves four dimensions syntactic, script, thematic, and rhetorical structures that can be systematically analyzed to reveal ideological orientations.   </w:t>
      </w:r>
    </w:p>
    <w:p w14:paraId="13F54B88" w14:textId="77777777" w:rsid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Meanwhile, political economy of media as explained by Mosco (2009) focuses on the ownership, production, and distribution of media content, and how these factors shape the public sphere. This approach is relevant in the Indonesian media landscape where conglomerate ownership often intersects with political power, influencing editorial decisions (Herman &amp; Chomsky, 1998; Bagdikian, 2004). The intersection between media framing and political economy provides a robust lens to analyze how Tempo and Media Indonesia construct competing narratives about nickel mining in Raja Ampat.</w:t>
      </w:r>
    </w:p>
    <w:p w14:paraId="46472051" w14:textId="121392D9" w:rsidR="00586055" w:rsidRP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The expansion of extractive industries, particularly nickel mining in conservation-designated regions such as Raja Ampat, has emerged as a key issue within Indonesia’s contemporary media and political communication landscape. Raja Ampat, globally recognized for having one of the highest levels of marine biodiversity in the world, now faces ecological pressure due to rising global demand for nickel—an essential resource for electric vehicle batteries and the broader energy transition. Amid these geopolitical and economic interests, mass media plays a crucial role in shaping public perceptions of the relationship between development, conservation, and political agendas.</w:t>
      </w:r>
    </w:p>
    <w:p w14:paraId="072A26BC" w14:textId="77777777" w:rsid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In this context, analyzing media political communication is essential for understanding how media outlets construct social realities and represent environmental issues through the influence of structural forces within the media industry. As McQuail (2011) asserts, the media does not merely transmit information; it functions as a social institution capable of shaping social integration and disintegration through the framing of particular issues. This aligns with Herman and Chomsky’s (1998) argument that ownership structures, political alignments, and corporate economic interests can significantly influence media bias.</w:t>
      </w:r>
    </w:p>
    <w:p w14:paraId="3BF70B6F" w14:textId="2217D3EE" w:rsidR="00586055" w:rsidRP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 xml:space="preserve">The divergent reporting on nickel mining activities in Raja Ampat by Tempo Online and Media Indonesia reflects these dynamics. Tempo—rooted in investigative journalism and long known for its editorial independence—tends to frame the issue critically by highlighting environmental and socio-economic risks. In contrast, Media Indonesia owned by Surya Paloh and politically aligned with the government presents a more favorable portrayal by emphasizing economic development and regulatory compliance. These contrasting frames </w:t>
      </w:r>
      <w:r w:rsidRPr="00586055">
        <w:rPr>
          <w:color w:val="000000"/>
          <w:lang w:val="de-DE"/>
        </w:rPr>
        <w:lastRenderedPageBreak/>
        <w:t>exemplify how media logic (Altheide &amp; Snow, 1979) and the Westley and MacLean (1957) model of media–society formation shape news production processes.</w:t>
      </w:r>
    </w:p>
    <w:p w14:paraId="0F7E6643" w14:textId="77777777" w:rsidR="00586055" w:rsidRP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Furthermore, framing theory (Entman, 1993) and the political economy of media (Mosco, 2009) provide analytical frameworks for examining how lexical choices, narrative structures, source selection, and agenda-setting practices reflect the ideological orientations of each news outlet. In today’s fragmented digital media environment, the selection and construction of key issues increasingly influence how audiences interpret strategic matters such as natural resource exploitation in conservation zones. This study is therefore important not only for examining structural media biases but also for understanding the ethical and political implications of environmental news reporting.</w:t>
      </w:r>
    </w:p>
    <w:p w14:paraId="7F25D002" w14:textId="77777777" w:rsidR="00586055" w:rsidRP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Based on this background, the present study aims to conduct a comparative textual analysis of reports by Tempo and Media Indonesia on nickel mining activities in Raja Ampat throughout 2025. The focus is to reveal how media ownership, political affiliation, and editorial orientation shape the framing of environmental, economic, and public-interest issues. The study seeks to contribute to the development of media political communication scholarship, particularly within the broader discourse on development and conservation in Indonesia.</w:t>
      </w:r>
    </w:p>
    <w:p w14:paraId="68A9DB5A"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p>
    <w:p w14:paraId="57510AFF" w14:textId="77777777" w:rsidR="00586055" w:rsidRPr="00586055" w:rsidRDefault="00586055" w:rsidP="00586055">
      <w:pPr>
        <w:widowControl w:val="0"/>
        <w:autoSpaceDE w:val="0"/>
        <w:autoSpaceDN w:val="0"/>
        <w:adjustRightInd w:val="0"/>
        <w:spacing w:line="360" w:lineRule="auto"/>
        <w:jc w:val="both"/>
        <w:rPr>
          <w:b/>
          <w:bCs/>
          <w:color w:val="000000"/>
          <w:lang w:val="de-DE"/>
        </w:rPr>
      </w:pPr>
      <w:r w:rsidRPr="00586055">
        <w:rPr>
          <w:b/>
          <w:bCs/>
          <w:color w:val="000000"/>
          <w:lang w:val="de-DE"/>
        </w:rPr>
        <w:t>Background: Raja Ampat And Nickel Mining</w:t>
      </w:r>
    </w:p>
    <w:p w14:paraId="5B1FC9C7" w14:textId="77777777" w:rsidR="00586055" w:rsidRPr="00586055" w:rsidRDefault="00586055" w:rsidP="00586055">
      <w:pPr>
        <w:widowControl w:val="0"/>
        <w:autoSpaceDE w:val="0"/>
        <w:autoSpaceDN w:val="0"/>
        <w:adjustRightInd w:val="0"/>
        <w:spacing w:line="360" w:lineRule="auto"/>
        <w:ind w:firstLine="709"/>
        <w:jc w:val="both"/>
        <w:rPr>
          <w:color w:val="000000"/>
          <w:lang w:val="de-DE"/>
        </w:rPr>
      </w:pPr>
      <w:r w:rsidRPr="00586055">
        <w:rPr>
          <w:color w:val="000000"/>
          <w:lang w:val="de-DE"/>
        </w:rPr>
        <w:t>Raja Ampat is internationally recognized for its extraordinary marine biodiversity and status as a premier ecotourism destination. Designated as part of the Coral Triangle, it hosts more than 1,500 species of fish and 500 species of coral. Nickel mining in Raja Ampat has been controversial since the early 2010s, with several permits overlapping conservation zones. In 2025, five companies PT Gag Nickel, PT Anugerah Surya Pratama (ASP), PT Mulia Raymond Perkasa (MRP), PT Kawei Sejahtera Mining (KSM), and PT Nurhamwere granted or renewed licenses by the government. Environmental groups argue that mining activities threaten marine ecosystems and local livelihoods, while proponents emphasize the potential for economic development and increased national revenue from nickel exports, particularly for electric vehicle battery production.</w:t>
      </w:r>
    </w:p>
    <w:p w14:paraId="6D8CBBC5"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r w:rsidRPr="00586055">
        <w:rPr>
          <w:color w:val="000000"/>
          <w:lang w:val="de-DE"/>
        </w:rPr>
        <w:t xml:space="preserve">The media holds persuasive power to influence the public. The strength of the media lies in its ability to provide facts and shape what we want to know about the world, becoming a key source for opinions and ideas. Media has the capacity to influence our thinking patterns and behavior. Importantly, media possesses its own culture, which shapes political perspectives </w:t>
      </w:r>
      <w:r w:rsidRPr="00586055">
        <w:rPr>
          <w:color w:val="000000"/>
          <w:lang w:val="de-DE"/>
        </w:rPr>
        <w:lastRenderedPageBreak/>
        <w:t>and social attitudes.</w:t>
      </w:r>
    </w:p>
    <w:p w14:paraId="4B0C64A9"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r w:rsidRPr="00586055">
        <w:rPr>
          <w:color w:val="000000"/>
          <w:lang w:val="de-DE"/>
        </w:rPr>
        <w:t>Ideally, mass media serves as a communication system that delivers symbolic messages to the wider society with the aim of entertaining, informing, and instilling values into public life. However, when the media is dominated by those in power, it is often used primarily for political and economic interests. Similarly, in the context of capital ownership, power holders and wealthy elites frequently leverage the media to propagate their agendas systematically, even creating significant conflicts among competing class interests (Herman &amp; Chomsky, 1998:01).</w:t>
      </w:r>
    </w:p>
    <w:p w14:paraId="357E770B"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r w:rsidRPr="00586055">
        <w:rPr>
          <w:color w:val="000000"/>
          <w:lang w:val="de-DE"/>
        </w:rPr>
        <w:t>Mass media acts as a channel connecting communicators and audiences on a large scale, where audiences are numerous, geographically dispersed, highly heterogeneous, and subject to significant influence (Tan &amp; Wright in Liliweri, 1991). According to Downing (1990:15), the study of media political economy provides a form of critical analysis, highlighting the interconnections between media, economic structures, and political power. Consequently, the political economy perspective on media belongs to the critical paradigm, alongside cultural studies, Frankfurt School critical theory, reception theory, and semiotics.</w:t>
      </w:r>
    </w:p>
    <w:p w14:paraId="4FA9BE0E"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r w:rsidRPr="00586055">
        <w:rPr>
          <w:color w:val="000000"/>
          <w:lang w:val="de-DE"/>
        </w:rPr>
        <w:t>Mass media also functions as a space for the circulation of ideas that involve public interests. However, questions arise regarding the extent to which media can act fairly when mediating diverse interests and whether it positions issues proportionally. These concerns lead to assumptions that media institutions are often influenced by specific political agendas, prioritizing political objectives over broader public needs (Nasharudin, 2017:10). Understanding the study of media political economy refers to Vincent Mosco’s definition (1996:26): “Political economy is the study of control and survival in social life.”</w:t>
      </w:r>
    </w:p>
    <w:p w14:paraId="3DED0FDA"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r w:rsidRPr="00586055">
        <w:rPr>
          <w:color w:val="000000"/>
          <w:lang w:val="de-DE"/>
        </w:rPr>
        <w:t xml:space="preserve">This highlights that political economy is closely related to media ownership, production, consumption, distribution, power dynamics, relationships with political elites, and media’s role in shaping civilization. These theoretical perspectives can be observed in how different ownership structures influence reporting styles, as seen in the coverage of nickel mining activities in Raja Ampat by Media Indonesia and Tempo.For instance, an article titled “Five Mining Companies Operating in Raja Ampat”, published by Media Indonesia on June 8, 2025, emphasizes ongoing mining operations by companies with government approval in the region. Dr. Ir. Hatma Suryatmojo, S.Hut., M.Si, a forestry expert from Universitas Gadjah Mada (UGM), stressed the need for strict regulatory procedures for mining activities in protected forest areas. The report frames the government’s issuance of 16 Mining Business </w:t>
      </w:r>
      <w:r w:rsidRPr="00586055">
        <w:rPr>
          <w:color w:val="000000"/>
          <w:lang w:val="de-DE"/>
        </w:rPr>
        <w:lastRenderedPageBreak/>
        <w:t>Permits (IUPs) in Raja Ampat, of which 13 overlap with the Raja Ampat Geopark area, in a way that appears supportive of the government’s decision to allow five companies to continue operating.</w:t>
      </w:r>
    </w:p>
    <w:p w14:paraId="4A860632" w14:textId="77777777" w:rsidR="00586055" w:rsidRPr="00586055" w:rsidRDefault="00586055" w:rsidP="00586055">
      <w:pPr>
        <w:widowControl w:val="0"/>
        <w:autoSpaceDE w:val="0"/>
        <w:autoSpaceDN w:val="0"/>
        <w:adjustRightInd w:val="0"/>
        <w:spacing w:line="360" w:lineRule="auto"/>
        <w:ind w:firstLine="851"/>
        <w:jc w:val="both"/>
        <w:rPr>
          <w:color w:val="000000"/>
          <w:lang w:val="de-DE"/>
        </w:rPr>
      </w:pPr>
      <w:r w:rsidRPr="00586055">
        <w:rPr>
          <w:color w:val="000000"/>
          <w:lang w:val="de-DE"/>
        </w:rPr>
        <w:t>In contrast, Tempo published an article on June 13, 2025, titled “Nickel Mining Permit Controversy in Raja Ampat”, which presents the issue through a critical lens, focusing on strategic economic interests and the exploitation of natural resources. Tempo highlights negative sentiments toward certain stakeholders involved in the mining projects, emphasizing potential threats to the ecosystem and local livelihoods. The differences in framing between Media Indonesia and Tempo demonstrate how media political economy practices shape reporting styles and influence public perceptions. This study aims to analyze the relationship between media ownership, political interests, and reporting styles in covering the nickel mining controversy in Raja Ampat, particularly during the third quarter of 2025, using a textual analysis approach.</w:t>
      </w:r>
    </w:p>
    <w:p w14:paraId="102696A8" w14:textId="77777777" w:rsidR="00586055" w:rsidRDefault="00586055" w:rsidP="00F249B1">
      <w:pPr>
        <w:widowControl w:val="0"/>
        <w:autoSpaceDE w:val="0"/>
        <w:autoSpaceDN w:val="0"/>
        <w:adjustRightInd w:val="0"/>
        <w:spacing w:line="360" w:lineRule="auto"/>
        <w:jc w:val="both"/>
        <w:rPr>
          <w:color w:val="000000"/>
          <w:lang w:val="de-DE"/>
        </w:rPr>
      </w:pPr>
    </w:p>
    <w:p w14:paraId="38B7E3CB" w14:textId="6E749BAB" w:rsidR="00586055" w:rsidRDefault="00586055" w:rsidP="00F249B1">
      <w:pPr>
        <w:widowControl w:val="0"/>
        <w:autoSpaceDE w:val="0"/>
        <w:autoSpaceDN w:val="0"/>
        <w:adjustRightInd w:val="0"/>
        <w:spacing w:line="360" w:lineRule="auto"/>
        <w:jc w:val="both"/>
        <w:rPr>
          <w:rFonts w:eastAsia="Times New Roman"/>
          <w:b/>
          <w:bCs/>
          <w:lang w:val="de-DE"/>
        </w:rPr>
      </w:pPr>
      <w:r>
        <w:rPr>
          <w:color w:val="000000"/>
          <w:lang w:val="de-DE"/>
        </w:rPr>
        <w:t xml:space="preserve"> </w:t>
      </w:r>
      <w:r w:rsidRPr="00586055">
        <w:rPr>
          <w:rFonts w:eastAsia="Times New Roman"/>
          <w:b/>
          <w:bCs/>
          <w:lang w:val="de-DE"/>
        </w:rPr>
        <w:t>LITERATURE REVIEW AND THEORETICAL FRAMEWORK</w:t>
      </w:r>
    </w:p>
    <w:p w14:paraId="4B07400C" w14:textId="77777777" w:rsidR="00586055" w:rsidRPr="009571DE" w:rsidRDefault="00586055" w:rsidP="00586055">
      <w:pPr>
        <w:spacing w:after="240" w:line="360" w:lineRule="auto"/>
        <w:ind w:firstLine="720"/>
        <w:jc w:val="both"/>
      </w:pPr>
      <w:r w:rsidRPr="009571DE">
        <w:t>Media representations of environmental and political issues are shaped by complex interactions between institutional structures, ownership patterns, editorial ideologies, and communicative practices. This section outlines the theoretical foundations used to analyze how Tempo and Media Indonesia construct narratives about nickel mining in Raja Ampat.</w:t>
      </w:r>
    </w:p>
    <w:p w14:paraId="1E554BB4" w14:textId="77777777" w:rsidR="00586055" w:rsidRPr="009571DE" w:rsidRDefault="00586055" w:rsidP="00586055">
      <w:pPr>
        <w:spacing w:line="360" w:lineRule="auto"/>
        <w:jc w:val="both"/>
        <w:rPr>
          <w:b/>
          <w:bCs/>
        </w:rPr>
      </w:pPr>
      <w:r w:rsidRPr="009571DE">
        <w:rPr>
          <w:b/>
          <w:bCs/>
        </w:rPr>
        <w:t>1. Framing Theory</w:t>
      </w:r>
    </w:p>
    <w:p w14:paraId="4945F442" w14:textId="77777777" w:rsidR="00586055" w:rsidRPr="009571DE" w:rsidRDefault="00586055" w:rsidP="00586055">
      <w:pPr>
        <w:spacing w:line="360" w:lineRule="auto"/>
        <w:ind w:firstLine="720"/>
        <w:jc w:val="both"/>
      </w:pPr>
      <w:r w:rsidRPr="009571DE">
        <w:t xml:space="preserve">Framing theory, as articulated by </w:t>
      </w:r>
      <w:proofErr w:type="spellStart"/>
      <w:r w:rsidRPr="009571DE">
        <w:t>Entman</w:t>
      </w:r>
      <w:proofErr w:type="spellEnd"/>
      <w:r w:rsidRPr="009571DE">
        <w:t xml:space="preserve"> (1993), explains how media highlight certain aspects of reality to make them more salient. </w:t>
      </w:r>
      <w:proofErr w:type="spellStart"/>
      <w:r w:rsidRPr="009571DE">
        <w:t>Entman</w:t>
      </w:r>
      <w:proofErr w:type="spellEnd"/>
      <w:r w:rsidRPr="009571DE">
        <w:t xml:space="preserve"> identifies four core framing functions: problem definition, causal diagnosis, moral evaluation, and treatment recommendation. Within this study, framing theory enables the identification of how each media outlet emphasizes different dimensions of the mining issue—Tempo foregrounding environmental risks and community concerns, while Media Indonesia foregrounds economic development and government policy.</w:t>
      </w:r>
    </w:p>
    <w:p w14:paraId="1BB866D7" w14:textId="77777777" w:rsidR="00586055" w:rsidRPr="009571DE" w:rsidRDefault="00586055" w:rsidP="00586055">
      <w:pPr>
        <w:spacing w:after="240" w:line="360" w:lineRule="auto"/>
        <w:ind w:firstLine="720"/>
        <w:jc w:val="both"/>
      </w:pPr>
      <w:r w:rsidRPr="009571DE">
        <w:t xml:space="preserve">Pan and </w:t>
      </w:r>
      <w:proofErr w:type="spellStart"/>
      <w:r w:rsidRPr="009571DE">
        <w:t>Kosicki’s</w:t>
      </w:r>
      <w:proofErr w:type="spellEnd"/>
      <w:r w:rsidRPr="009571DE">
        <w:t xml:space="preserve"> (1993) structural framing model further </w:t>
      </w:r>
      <w:proofErr w:type="gramStart"/>
      <w:r w:rsidRPr="009571DE">
        <w:t>guides</w:t>
      </w:r>
      <w:proofErr w:type="gramEnd"/>
      <w:r w:rsidRPr="009571DE">
        <w:t xml:space="preserve"> the textual analysis by examining framing through four dimensions: syntactic (headline and lead structure), script (news narrative flow), thematic (contextual interpretation), and rhetorical structures (word choices, metaphors, and imagery). These dimensions help uncover deeper ideological orientations embedded in the reporting.</w:t>
      </w:r>
    </w:p>
    <w:p w14:paraId="262D5DA6" w14:textId="77777777" w:rsidR="00586055" w:rsidRPr="009571DE" w:rsidRDefault="00586055" w:rsidP="00586055">
      <w:pPr>
        <w:spacing w:line="360" w:lineRule="auto"/>
        <w:jc w:val="both"/>
        <w:rPr>
          <w:b/>
          <w:bCs/>
        </w:rPr>
      </w:pPr>
      <w:r w:rsidRPr="009571DE">
        <w:rPr>
          <w:b/>
          <w:bCs/>
        </w:rPr>
        <w:lastRenderedPageBreak/>
        <w:t>2. Political Economy of Media</w:t>
      </w:r>
    </w:p>
    <w:p w14:paraId="356E6A45" w14:textId="77777777" w:rsidR="00586055" w:rsidRPr="009571DE" w:rsidRDefault="00586055" w:rsidP="00586055">
      <w:pPr>
        <w:spacing w:after="240" w:line="360" w:lineRule="auto"/>
        <w:ind w:firstLine="720"/>
        <w:jc w:val="both"/>
      </w:pPr>
      <w:r w:rsidRPr="009571DE">
        <w:t>The political economy perspective, grounded in the works of Mosco (2009) and Herman &amp; Chomsky (1998), provides a critical lens to analyze how media ownership, market structures, and political affiliations influence news production. This approach asserts that media institutions are shaped by broader economic and political forces that determine which narratives are amplified or marginalized. In the Indonesian context, media conglomeration and political patronage create structural dependencies that affect editorial autonomy. Tempo’s long-standing reputation for investigative journalism contrasts with the more government-aligned orientation of Media Indonesia, illustrating how ownership patterns can shape framing strategies. The political economy approach thus reveals how economic interests and political alliances influence the portrayal of development and environmental issues.</w:t>
      </w:r>
    </w:p>
    <w:p w14:paraId="6EB58239" w14:textId="77777777" w:rsidR="00586055" w:rsidRPr="009571DE" w:rsidRDefault="00586055" w:rsidP="00586055">
      <w:pPr>
        <w:spacing w:line="360" w:lineRule="auto"/>
        <w:jc w:val="both"/>
        <w:rPr>
          <w:b/>
          <w:bCs/>
        </w:rPr>
      </w:pPr>
      <w:r w:rsidRPr="009571DE">
        <w:rPr>
          <w:b/>
          <w:bCs/>
        </w:rPr>
        <w:t>3. Media Logic</w:t>
      </w:r>
    </w:p>
    <w:p w14:paraId="4451B001" w14:textId="77777777" w:rsidR="00586055" w:rsidRPr="009571DE" w:rsidRDefault="00586055" w:rsidP="00586055">
      <w:pPr>
        <w:spacing w:after="240" w:line="360" w:lineRule="auto"/>
        <w:ind w:firstLine="720"/>
        <w:jc w:val="both"/>
      </w:pPr>
      <w:r w:rsidRPr="009571DE">
        <w:t>Altheide and Snow’s (1979) concept of media logic emphasizes that media organizations operate using specific formats, routines, and production norms that shape the selection and presentation of content. Media logic also explains the homogenization of news practices, where outlets closely aligned with government institutions may rely heavily on official statements and press releases. Understanding media logic helps explain why Media Indonesia tends to prioritize government voices and regulatory narratives, while Tempo deviates from standardized routines through investigative approaches that highlight alternative perspectives.</w:t>
      </w:r>
    </w:p>
    <w:p w14:paraId="2081C553" w14:textId="77777777" w:rsidR="00586055" w:rsidRPr="009571DE" w:rsidRDefault="00586055" w:rsidP="00586055">
      <w:pPr>
        <w:spacing w:line="360" w:lineRule="auto"/>
        <w:jc w:val="both"/>
        <w:rPr>
          <w:b/>
          <w:bCs/>
        </w:rPr>
      </w:pPr>
      <w:r w:rsidRPr="009571DE">
        <w:rPr>
          <w:b/>
          <w:bCs/>
        </w:rPr>
        <w:t>4. Agenda-Setting Theory</w:t>
      </w:r>
    </w:p>
    <w:p w14:paraId="2D7BB395" w14:textId="46B80306" w:rsidR="00586055" w:rsidRPr="00895EFC" w:rsidRDefault="00586055" w:rsidP="00586055">
      <w:pPr>
        <w:spacing w:after="240" w:line="360" w:lineRule="auto"/>
        <w:ind w:firstLine="720"/>
        <w:jc w:val="both"/>
      </w:pPr>
      <w:r w:rsidRPr="00895EFC">
        <w:t xml:space="preserve">Agenda-setting theory (McCombs &amp; Shaw, 1972) argues that media influence what issues the public perceives as important. In resource-rich regions like Raja Ampat, the choice of which aspects of mining activities to </w:t>
      </w:r>
      <w:proofErr w:type="spellStart"/>
      <w:r w:rsidRPr="00895EFC">
        <w:t>highlighteconomic</w:t>
      </w:r>
      <w:proofErr w:type="spellEnd"/>
      <w:r w:rsidRPr="00895EFC">
        <w:t xml:space="preserve"> benefits or environmental risks significantly shapes policy debates and public discourse. In this study, Media Indonesia reinforces development-oriented agendas by focusing on economic growth and government legitimacy, while Tempo elevates environmental and social concerns, pushing sustainability issues into public awareness.</w:t>
      </w:r>
    </w:p>
    <w:p w14:paraId="2634C9E4" w14:textId="7C3779BA" w:rsidR="00586055" w:rsidRPr="00895EFC" w:rsidRDefault="00586055" w:rsidP="00586055">
      <w:pPr>
        <w:widowControl w:val="0"/>
        <w:autoSpaceDE w:val="0"/>
        <w:autoSpaceDN w:val="0"/>
        <w:adjustRightInd w:val="0"/>
        <w:spacing w:line="360" w:lineRule="auto"/>
        <w:jc w:val="both"/>
        <w:rPr>
          <w:b/>
          <w:bCs/>
          <w:color w:val="000000"/>
          <w:lang w:val="de-DE"/>
        </w:rPr>
      </w:pPr>
      <w:r w:rsidRPr="00895EFC">
        <w:rPr>
          <w:b/>
          <w:bCs/>
          <w:color w:val="000000"/>
          <w:lang w:val="de-DE"/>
        </w:rPr>
        <w:t>METHODS</w:t>
      </w:r>
    </w:p>
    <w:p w14:paraId="68F8AEED" w14:textId="77777777" w:rsidR="00586055" w:rsidRPr="00895EFC" w:rsidRDefault="00586055" w:rsidP="00586055">
      <w:pPr>
        <w:spacing w:line="360" w:lineRule="auto"/>
        <w:ind w:firstLine="720"/>
        <w:jc w:val="both"/>
      </w:pPr>
      <w:r w:rsidRPr="00895EFC">
        <w:t xml:space="preserve">This study examined a corpus of 12 articles published between May and June 2025: six from Tempo Online and six from Media Indonesia Online. The articles were selected based on </w:t>
      </w:r>
      <w:r w:rsidRPr="00895EFC">
        <w:lastRenderedPageBreak/>
        <w:t xml:space="preserve">their relevance to the nickel mining controversy in Raja Ampat. The analysis employed a coding scheme adapted from Pan and </w:t>
      </w:r>
      <w:proofErr w:type="spellStart"/>
      <w:r w:rsidRPr="00895EFC">
        <w:t>Kosicki</w:t>
      </w:r>
      <w:proofErr w:type="spellEnd"/>
      <w:r w:rsidRPr="00895EFC">
        <w:t xml:space="preserve"> (1993) focusing on headline tone, lexical choices, source selection, and narrative structure. Each article was coded twice to ensure intercoder reliability. The analysis followed three stages: (1) identifying dominant frames and subframes in each article; (2) comparing lexical and rhetorical patterns; and (3) evaluating the relationship between media ownership and framing strategies. This triangulation method enhanced the validity of the findings.</w:t>
      </w:r>
    </w:p>
    <w:p w14:paraId="275BAA1E" w14:textId="77777777" w:rsidR="00586055" w:rsidRPr="00895EFC" w:rsidRDefault="00586055" w:rsidP="00586055">
      <w:pPr>
        <w:spacing w:line="360" w:lineRule="auto"/>
        <w:ind w:firstLine="720"/>
        <w:jc w:val="both"/>
      </w:pPr>
      <w:r w:rsidRPr="00895EFC">
        <w:t xml:space="preserve">This research employs a qualitative descriptive research method. According to Bogdan and Taylor </w:t>
      </w:r>
      <w:r w:rsidRPr="00895EFC">
        <w:rPr>
          <w:i/>
          <w:iCs/>
        </w:rPr>
        <w:t xml:space="preserve">(in </w:t>
      </w:r>
      <w:proofErr w:type="spellStart"/>
      <w:r w:rsidRPr="00895EFC">
        <w:rPr>
          <w:i/>
          <w:iCs/>
        </w:rPr>
        <w:t>Moleong</w:t>
      </w:r>
      <w:proofErr w:type="spellEnd"/>
      <w:r w:rsidRPr="00895EFC">
        <w:rPr>
          <w:i/>
          <w:iCs/>
        </w:rPr>
        <w:t>, 2012:4)</w:t>
      </w:r>
      <w:r w:rsidRPr="00895EFC">
        <w:t xml:space="preserve">, qualitative methodology is defined as a research procedure that produces descriptive data in the form of written or spoken words from observed individuals and behaviors. In qualitative research, the researcher studies various phenomena within their natural settings, attempting to understand these phenomena based on the meanings constructed by the people involved </w:t>
      </w:r>
      <w:r w:rsidRPr="00895EFC">
        <w:rPr>
          <w:i/>
          <w:iCs/>
        </w:rPr>
        <w:t xml:space="preserve">(Denzin &amp; Lincoln, in </w:t>
      </w:r>
      <w:proofErr w:type="spellStart"/>
      <w:r w:rsidRPr="00895EFC">
        <w:rPr>
          <w:i/>
          <w:iCs/>
        </w:rPr>
        <w:t>Suwarsono</w:t>
      </w:r>
      <w:proofErr w:type="spellEnd"/>
      <w:r w:rsidRPr="00895EFC">
        <w:rPr>
          <w:i/>
          <w:iCs/>
        </w:rPr>
        <w:t>, 2016)</w:t>
      </w:r>
      <w:r w:rsidRPr="00895EFC">
        <w:t xml:space="preserve">. According to Fraenkel &amp; Wallen </w:t>
      </w:r>
      <w:r w:rsidRPr="00895EFC">
        <w:rPr>
          <w:i/>
          <w:iCs/>
        </w:rPr>
        <w:t>(1990)</w:t>
      </w:r>
      <w:r w:rsidRPr="00895EFC">
        <w:t xml:space="preserve">, qualitative research focuses on processes, with researchers primarily interested in understanding how and why events occur </w:t>
      </w:r>
      <w:r w:rsidRPr="00895EFC">
        <w:rPr>
          <w:i/>
          <w:iCs/>
        </w:rPr>
        <w:t>(</w:t>
      </w:r>
      <w:proofErr w:type="spellStart"/>
      <w:r w:rsidRPr="00895EFC">
        <w:rPr>
          <w:i/>
          <w:iCs/>
        </w:rPr>
        <w:t>Nasharudin</w:t>
      </w:r>
      <w:proofErr w:type="spellEnd"/>
      <w:r w:rsidRPr="00895EFC">
        <w:rPr>
          <w:i/>
          <w:iCs/>
        </w:rPr>
        <w:t>, 2017:56)</w:t>
      </w:r>
      <w:r w:rsidRPr="00895EFC">
        <w:t>.</w:t>
      </w:r>
    </w:p>
    <w:p w14:paraId="029A0995" w14:textId="77777777" w:rsidR="00586055" w:rsidRPr="00895EFC" w:rsidRDefault="00586055" w:rsidP="00895EFC">
      <w:pPr>
        <w:spacing w:after="240" w:line="360" w:lineRule="auto"/>
        <w:ind w:firstLine="720"/>
        <w:jc w:val="both"/>
      </w:pPr>
      <w:r w:rsidRPr="00895EFC">
        <w:t xml:space="preserve">Furthermore, </w:t>
      </w:r>
      <w:proofErr w:type="spellStart"/>
      <w:r w:rsidRPr="00895EFC">
        <w:t>Moleong</w:t>
      </w:r>
      <w:proofErr w:type="spellEnd"/>
      <w:r w:rsidRPr="00895EFC">
        <w:t xml:space="preserve"> </w:t>
      </w:r>
      <w:r w:rsidRPr="00895EFC">
        <w:rPr>
          <w:i/>
          <w:iCs/>
        </w:rPr>
        <w:t>(2005:10)</w:t>
      </w:r>
      <w:r w:rsidRPr="00895EFC">
        <w:t xml:space="preserve"> explains that qualitative descriptive research is an approach where the data collected consists of words, images, and not numbers. Such data can be obtained from interviews, field notes, photographs, video recordings, personal documents, archives, memos, and other forms of documentation </w:t>
      </w:r>
      <w:r w:rsidRPr="00895EFC">
        <w:rPr>
          <w:i/>
          <w:iCs/>
        </w:rPr>
        <w:t>(</w:t>
      </w:r>
      <w:proofErr w:type="spellStart"/>
      <w:r w:rsidRPr="00895EFC">
        <w:rPr>
          <w:i/>
          <w:iCs/>
        </w:rPr>
        <w:t>Moleong</w:t>
      </w:r>
      <w:proofErr w:type="spellEnd"/>
      <w:r w:rsidRPr="00895EFC">
        <w:rPr>
          <w:i/>
          <w:iCs/>
        </w:rPr>
        <w:t>, 2005:4)</w:t>
      </w:r>
      <w:r w:rsidRPr="00895EFC">
        <w:t>. This study employed a qualitative descriptive research design using a comparative textual analysis approach to examine how Tempo and Media Indonesia framed the nickel mining controversy in Raja Ampat. The methodology integrates framing analysis, political economy perspectives, and textual examination to uncover structural differences in reporting practices.</w:t>
      </w:r>
    </w:p>
    <w:p w14:paraId="25975B50" w14:textId="77777777" w:rsidR="00586055" w:rsidRPr="00895EFC" w:rsidRDefault="00586055" w:rsidP="00586055">
      <w:pPr>
        <w:spacing w:line="360" w:lineRule="auto"/>
        <w:jc w:val="both"/>
        <w:rPr>
          <w:b/>
          <w:bCs/>
        </w:rPr>
      </w:pPr>
      <w:r w:rsidRPr="00895EFC">
        <w:rPr>
          <w:b/>
          <w:bCs/>
        </w:rPr>
        <w:t>1. Research Design</w:t>
      </w:r>
    </w:p>
    <w:p w14:paraId="4497FECC" w14:textId="2663EAD5" w:rsidR="00586055" w:rsidRDefault="00586055" w:rsidP="00895EFC">
      <w:pPr>
        <w:spacing w:after="240" w:line="360" w:lineRule="auto"/>
        <w:ind w:firstLine="720"/>
        <w:jc w:val="both"/>
      </w:pPr>
      <w:r w:rsidRPr="00895EFC">
        <w:t xml:space="preserve">This research follows a qualitative descriptive methodology, which focuses on interpreting meaning, context, and discursive patterns within news texts. According to Bogdan and Taylor (in </w:t>
      </w:r>
      <w:proofErr w:type="spellStart"/>
      <w:r w:rsidRPr="00895EFC">
        <w:t>Moleong</w:t>
      </w:r>
      <w:proofErr w:type="spellEnd"/>
      <w:r w:rsidRPr="00895EFC">
        <w:t>, 2012), qualitative methods generate descriptive data in the form of written or spoken words. This approach allows the researcher to explore how media outlets construct social realities through language, narrative organization, and sourcing patterns.</w:t>
      </w:r>
    </w:p>
    <w:p w14:paraId="6234AF20" w14:textId="1A2F5A99" w:rsidR="00895EFC" w:rsidRDefault="00895EFC" w:rsidP="00895EFC">
      <w:pPr>
        <w:spacing w:after="240" w:line="360" w:lineRule="auto"/>
        <w:ind w:firstLine="720"/>
        <w:jc w:val="both"/>
      </w:pPr>
    </w:p>
    <w:p w14:paraId="25B35409" w14:textId="77777777" w:rsidR="00895EFC" w:rsidRPr="00895EFC" w:rsidRDefault="00895EFC" w:rsidP="00895EFC">
      <w:pPr>
        <w:spacing w:after="240" w:line="360" w:lineRule="auto"/>
        <w:ind w:firstLine="720"/>
        <w:jc w:val="both"/>
      </w:pPr>
    </w:p>
    <w:p w14:paraId="1616A4D7" w14:textId="77777777" w:rsidR="00586055" w:rsidRPr="00895EFC" w:rsidRDefault="00586055" w:rsidP="00586055">
      <w:pPr>
        <w:spacing w:line="360" w:lineRule="auto"/>
        <w:jc w:val="both"/>
        <w:rPr>
          <w:b/>
          <w:bCs/>
        </w:rPr>
      </w:pPr>
      <w:r w:rsidRPr="00895EFC">
        <w:rPr>
          <w:b/>
          <w:bCs/>
        </w:rPr>
        <w:lastRenderedPageBreak/>
        <w:t>2. Data Sources and Corpus Selection</w:t>
      </w:r>
    </w:p>
    <w:p w14:paraId="7DBE7F94" w14:textId="77777777" w:rsidR="00586055" w:rsidRPr="00895EFC" w:rsidRDefault="00586055" w:rsidP="00586055">
      <w:pPr>
        <w:spacing w:line="360" w:lineRule="auto"/>
        <w:ind w:firstLine="720"/>
        <w:jc w:val="both"/>
      </w:pPr>
      <w:r w:rsidRPr="00895EFC">
        <w:t>A total of 12 online news articles published between May and June 2025 were selected as the primary corpus: six articles from Tempo Online and six from Media Indonesia Online. These articles were chosen based on three criteria:</w:t>
      </w:r>
    </w:p>
    <w:p w14:paraId="103148CE" w14:textId="77777777" w:rsidR="00586055" w:rsidRPr="00895EFC" w:rsidRDefault="00586055" w:rsidP="005B1DD8">
      <w:pPr>
        <w:numPr>
          <w:ilvl w:val="0"/>
          <w:numId w:val="1"/>
        </w:numPr>
        <w:tabs>
          <w:tab w:val="clear" w:pos="720"/>
        </w:tabs>
        <w:spacing w:line="360" w:lineRule="auto"/>
        <w:ind w:left="426" w:hanging="426"/>
        <w:jc w:val="both"/>
      </w:pPr>
      <w:r w:rsidRPr="00895EFC">
        <w:t>Relevance to nickel mining activities in Raja Ampat.</w:t>
      </w:r>
    </w:p>
    <w:p w14:paraId="76A6F58B" w14:textId="77777777" w:rsidR="00895EFC" w:rsidRPr="00895EFC" w:rsidRDefault="00586055" w:rsidP="005B1DD8">
      <w:pPr>
        <w:numPr>
          <w:ilvl w:val="0"/>
          <w:numId w:val="1"/>
        </w:numPr>
        <w:tabs>
          <w:tab w:val="clear" w:pos="720"/>
        </w:tabs>
        <w:spacing w:line="360" w:lineRule="auto"/>
        <w:ind w:left="426" w:hanging="426"/>
        <w:jc w:val="both"/>
      </w:pPr>
      <w:r w:rsidRPr="00895EFC">
        <w:t xml:space="preserve">Alignment with the study’s timeframe </w:t>
      </w:r>
    </w:p>
    <w:p w14:paraId="4266E140" w14:textId="41766900" w:rsidR="00586055" w:rsidRPr="00895EFC" w:rsidRDefault="00586055" w:rsidP="005B1DD8">
      <w:pPr>
        <w:numPr>
          <w:ilvl w:val="0"/>
          <w:numId w:val="1"/>
        </w:numPr>
        <w:tabs>
          <w:tab w:val="clear" w:pos="720"/>
        </w:tabs>
        <w:spacing w:line="360" w:lineRule="auto"/>
        <w:ind w:left="426" w:hanging="426"/>
        <w:jc w:val="both"/>
      </w:pPr>
      <w:r w:rsidRPr="00895EFC">
        <w:t>Representation of each outlet’s coverage tone and editorial orientation.</w:t>
      </w:r>
    </w:p>
    <w:p w14:paraId="7FDC3E1F" w14:textId="77777777" w:rsidR="00586055" w:rsidRPr="00895EFC" w:rsidRDefault="00586055" w:rsidP="00895EFC">
      <w:pPr>
        <w:spacing w:after="240" w:line="360" w:lineRule="auto"/>
        <w:ind w:firstLine="720"/>
        <w:jc w:val="both"/>
      </w:pPr>
      <w:r w:rsidRPr="00895EFC">
        <w:t>Additional supporting data were collected from government publications, NGO reports, academic literature, and environmental policy documents to enhance contextual interpretation and triangulation.</w:t>
      </w:r>
    </w:p>
    <w:p w14:paraId="4CC13C89" w14:textId="77777777" w:rsidR="00586055" w:rsidRPr="00895EFC" w:rsidRDefault="00586055" w:rsidP="00586055">
      <w:pPr>
        <w:spacing w:line="360" w:lineRule="auto"/>
        <w:jc w:val="both"/>
        <w:rPr>
          <w:b/>
          <w:bCs/>
        </w:rPr>
      </w:pPr>
      <w:r w:rsidRPr="00895EFC">
        <w:rPr>
          <w:b/>
          <w:bCs/>
        </w:rPr>
        <w:t>3. Analytical Framework</w:t>
      </w:r>
    </w:p>
    <w:p w14:paraId="2C3C2571" w14:textId="77777777" w:rsidR="00586055" w:rsidRPr="00895EFC" w:rsidRDefault="00586055" w:rsidP="00586055">
      <w:pPr>
        <w:spacing w:line="360" w:lineRule="auto"/>
        <w:jc w:val="both"/>
      </w:pPr>
      <w:r w:rsidRPr="00895EFC">
        <w:t>The analysis follows a three-stage process:</w:t>
      </w:r>
    </w:p>
    <w:p w14:paraId="1A753971" w14:textId="77777777" w:rsidR="00586055" w:rsidRPr="00895EFC" w:rsidRDefault="00586055" w:rsidP="005B1DD8">
      <w:pPr>
        <w:numPr>
          <w:ilvl w:val="0"/>
          <w:numId w:val="2"/>
        </w:numPr>
        <w:tabs>
          <w:tab w:val="clear" w:pos="720"/>
        </w:tabs>
        <w:spacing w:line="360" w:lineRule="auto"/>
        <w:ind w:left="426" w:hanging="426"/>
        <w:jc w:val="both"/>
      </w:pPr>
      <w:r w:rsidRPr="00895EFC">
        <w:t xml:space="preserve">Identification of Dominant Frames Each article was coded to identify problem definitions, causal interpretations, moral evaluations, and solution frames, based on </w:t>
      </w:r>
      <w:proofErr w:type="spellStart"/>
      <w:r w:rsidRPr="00895EFC">
        <w:t>Entman’s</w:t>
      </w:r>
      <w:proofErr w:type="spellEnd"/>
      <w:r w:rsidRPr="00895EFC">
        <w:t xml:space="preserve"> (1993) framing model.</w:t>
      </w:r>
    </w:p>
    <w:p w14:paraId="1E297247" w14:textId="77777777" w:rsidR="00586055" w:rsidRPr="00895EFC" w:rsidRDefault="00586055" w:rsidP="005B1DD8">
      <w:pPr>
        <w:numPr>
          <w:ilvl w:val="0"/>
          <w:numId w:val="2"/>
        </w:numPr>
        <w:tabs>
          <w:tab w:val="clear" w:pos="720"/>
        </w:tabs>
        <w:spacing w:line="360" w:lineRule="auto"/>
        <w:ind w:left="426" w:hanging="426"/>
        <w:jc w:val="both"/>
      </w:pPr>
      <w:r w:rsidRPr="00895EFC">
        <w:t xml:space="preserve">Structural Analysis Using Pan &amp; </w:t>
      </w:r>
      <w:proofErr w:type="spellStart"/>
      <w:r w:rsidRPr="00895EFC">
        <w:t>Kosicki’s</w:t>
      </w:r>
      <w:proofErr w:type="spellEnd"/>
      <w:r w:rsidRPr="00895EFC">
        <w:t xml:space="preserve"> Framework (1993) The articles were examined through syntactic structures (headlines, leads), script structures (narrative flow), thematic structures (contextual coherence), and rhetorical structures (lexical choices, metaphors, quotations).</w:t>
      </w:r>
    </w:p>
    <w:p w14:paraId="3711D98C" w14:textId="77777777" w:rsidR="00586055" w:rsidRPr="00895EFC" w:rsidRDefault="00586055" w:rsidP="005B1DD8">
      <w:pPr>
        <w:numPr>
          <w:ilvl w:val="0"/>
          <w:numId w:val="2"/>
        </w:numPr>
        <w:tabs>
          <w:tab w:val="clear" w:pos="720"/>
        </w:tabs>
        <w:spacing w:after="240" w:line="360" w:lineRule="auto"/>
        <w:ind w:left="426" w:hanging="426"/>
        <w:jc w:val="both"/>
      </w:pPr>
      <w:r w:rsidRPr="00895EFC">
        <w:t>Comparative Analysis The findings from Tempo and Media Indonesia were contrasted to reveal structural differences in framing, source selection, and ideological orientation.</w:t>
      </w:r>
    </w:p>
    <w:p w14:paraId="4B0E41A0" w14:textId="77777777" w:rsidR="00586055" w:rsidRPr="00895EFC" w:rsidRDefault="00586055" w:rsidP="00586055">
      <w:pPr>
        <w:spacing w:line="360" w:lineRule="auto"/>
        <w:jc w:val="both"/>
        <w:rPr>
          <w:b/>
          <w:bCs/>
        </w:rPr>
      </w:pPr>
      <w:r w:rsidRPr="00895EFC">
        <w:rPr>
          <w:b/>
          <w:bCs/>
        </w:rPr>
        <w:t>4. Coding Procedure and Reliability</w:t>
      </w:r>
    </w:p>
    <w:p w14:paraId="7CF86BA4" w14:textId="77777777" w:rsidR="00586055" w:rsidRPr="00895EFC" w:rsidRDefault="00586055" w:rsidP="00895EFC">
      <w:pPr>
        <w:spacing w:line="360" w:lineRule="auto"/>
        <w:ind w:firstLine="720"/>
        <w:jc w:val="both"/>
      </w:pPr>
      <w:r w:rsidRPr="00895EFC">
        <w:t>To enhance analytical rigor, each article was coded independently twice. Coding categories included:</w:t>
      </w:r>
    </w:p>
    <w:p w14:paraId="61466E95" w14:textId="77777777" w:rsidR="00586055" w:rsidRPr="00895EFC" w:rsidRDefault="00586055" w:rsidP="005B1DD8">
      <w:pPr>
        <w:numPr>
          <w:ilvl w:val="0"/>
          <w:numId w:val="3"/>
        </w:numPr>
        <w:tabs>
          <w:tab w:val="clear" w:pos="720"/>
        </w:tabs>
        <w:spacing w:line="360" w:lineRule="auto"/>
        <w:ind w:left="426" w:hanging="426"/>
        <w:jc w:val="both"/>
      </w:pPr>
      <w:r w:rsidRPr="00895EFC">
        <w:t>Headline tone (positive, negative, neutral)</w:t>
      </w:r>
    </w:p>
    <w:p w14:paraId="660D3BA5" w14:textId="77777777" w:rsidR="00586055" w:rsidRPr="00895EFC" w:rsidRDefault="00586055" w:rsidP="005B1DD8">
      <w:pPr>
        <w:numPr>
          <w:ilvl w:val="0"/>
          <w:numId w:val="3"/>
        </w:numPr>
        <w:tabs>
          <w:tab w:val="clear" w:pos="720"/>
        </w:tabs>
        <w:spacing w:line="360" w:lineRule="auto"/>
        <w:ind w:left="426" w:hanging="426"/>
        <w:jc w:val="both"/>
      </w:pPr>
      <w:r w:rsidRPr="00895EFC">
        <w:t>Lexical indicators of bias</w:t>
      </w:r>
    </w:p>
    <w:p w14:paraId="24B609E7" w14:textId="77777777" w:rsidR="00586055" w:rsidRPr="00895EFC" w:rsidRDefault="00586055" w:rsidP="005B1DD8">
      <w:pPr>
        <w:numPr>
          <w:ilvl w:val="0"/>
          <w:numId w:val="3"/>
        </w:numPr>
        <w:tabs>
          <w:tab w:val="clear" w:pos="720"/>
        </w:tabs>
        <w:spacing w:line="360" w:lineRule="auto"/>
        <w:ind w:left="426" w:hanging="426"/>
        <w:jc w:val="both"/>
      </w:pPr>
      <w:r w:rsidRPr="00895EFC">
        <w:t>Source attribution (government, corporate, NGO, community)</w:t>
      </w:r>
    </w:p>
    <w:p w14:paraId="76A6980A" w14:textId="77777777" w:rsidR="00586055" w:rsidRPr="00895EFC" w:rsidRDefault="00586055" w:rsidP="005B1DD8">
      <w:pPr>
        <w:numPr>
          <w:ilvl w:val="0"/>
          <w:numId w:val="3"/>
        </w:numPr>
        <w:tabs>
          <w:tab w:val="clear" w:pos="720"/>
        </w:tabs>
        <w:spacing w:line="360" w:lineRule="auto"/>
        <w:ind w:left="426" w:hanging="426"/>
        <w:jc w:val="both"/>
      </w:pPr>
      <w:r w:rsidRPr="00895EFC">
        <w:t>Narrative emphasis (economic, environmental, political)</w:t>
      </w:r>
    </w:p>
    <w:p w14:paraId="7023AF84" w14:textId="77777777" w:rsidR="00586055" w:rsidRPr="00895EFC" w:rsidRDefault="00586055" w:rsidP="005B1DD8">
      <w:pPr>
        <w:numPr>
          <w:ilvl w:val="0"/>
          <w:numId w:val="3"/>
        </w:numPr>
        <w:tabs>
          <w:tab w:val="clear" w:pos="720"/>
        </w:tabs>
        <w:spacing w:line="360" w:lineRule="auto"/>
        <w:ind w:left="426" w:hanging="426"/>
        <w:jc w:val="both"/>
      </w:pPr>
      <w:r w:rsidRPr="00895EFC">
        <w:t>Rhetorical markers (evaluative adjectives, metaphors, modal verbs)</w:t>
      </w:r>
    </w:p>
    <w:p w14:paraId="24114CC5" w14:textId="77777777" w:rsidR="00586055" w:rsidRPr="00895EFC" w:rsidRDefault="00586055" w:rsidP="00895EFC">
      <w:pPr>
        <w:spacing w:after="240" w:line="360" w:lineRule="auto"/>
        <w:ind w:firstLine="720"/>
        <w:jc w:val="both"/>
      </w:pPr>
      <w:r w:rsidRPr="00895EFC">
        <w:t>Intercoder reliability was strengthened using repeated coding cycles and peer cross-checking of coding categories.</w:t>
      </w:r>
    </w:p>
    <w:p w14:paraId="0DCD1C26" w14:textId="77777777" w:rsidR="00586055" w:rsidRPr="00895EFC" w:rsidRDefault="00586055" w:rsidP="00586055">
      <w:pPr>
        <w:spacing w:line="360" w:lineRule="auto"/>
        <w:jc w:val="both"/>
        <w:rPr>
          <w:b/>
          <w:bCs/>
        </w:rPr>
      </w:pPr>
      <w:r w:rsidRPr="00895EFC">
        <w:rPr>
          <w:b/>
          <w:bCs/>
        </w:rPr>
        <w:lastRenderedPageBreak/>
        <w:t>5. Triangulation</w:t>
      </w:r>
    </w:p>
    <w:p w14:paraId="10BD8658" w14:textId="77777777" w:rsidR="00586055" w:rsidRPr="00895EFC" w:rsidRDefault="00586055" w:rsidP="00586055">
      <w:pPr>
        <w:spacing w:line="360" w:lineRule="auto"/>
        <w:jc w:val="both"/>
      </w:pPr>
      <w:r w:rsidRPr="00895EFC">
        <w:t>To ensure validity and reliability, the study applied methodological triangulation by:</w:t>
      </w:r>
    </w:p>
    <w:p w14:paraId="51D79BB5" w14:textId="77777777" w:rsidR="00586055" w:rsidRPr="00895EFC" w:rsidRDefault="00586055" w:rsidP="005B1DD8">
      <w:pPr>
        <w:numPr>
          <w:ilvl w:val="0"/>
          <w:numId w:val="3"/>
        </w:numPr>
        <w:tabs>
          <w:tab w:val="clear" w:pos="720"/>
        </w:tabs>
        <w:spacing w:line="360" w:lineRule="auto"/>
        <w:ind w:left="426" w:hanging="426"/>
        <w:jc w:val="both"/>
      </w:pPr>
      <w:r w:rsidRPr="00895EFC">
        <w:t>Cross-referencing media data with external reports (government, NGOs)</w:t>
      </w:r>
    </w:p>
    <w:p w14:paraId="577D625E" w14:textId="77777777" w:rsidR="00586055" w:rsidRPr="00895EFC" w:rsidRDefault="00586055" w:rsidP="005B1DD8">
      <w:pPr>
        <w:numPr>
          <w:ilvl w:val="0"/>
          <w:numId w:val="3"/>
        </w:numPr>
        <w:tabs>
          <w:tab w:val="clear" w:pos="720"/>
        </w:tabs>
        <w:spacing w:line="360" w:lineRule="auto"/>
        <w:ind w:left="426" w:hanging="426"/>
        <w:jc w:val="both"/>
      </w:pPr>
      <w:r w:rsidRPr="00895EFC">
        <w:t>Comparing findings across two media institutions</w:t>
      </w:r>
    </w:p>
    <w:p w14:paraId="00339468" w14:textId="77777777" w:rsidR="00586055" w:rsidRPr="00895EFC" w:rsidRDefault="00586055" w:rsidP="005B1DD8">
      <w:pPr>
        <w:numPr>
          <w:ilvl w:val="0"/>
          <w:numId w:val="3"/>
        </w:numPr>
        <w:tabs>
          <w:tab w:val="clear" w:pos="720"/>
        </w:tabs>
        <w:spacing w:after="240" w:line="360" w:lineRule="auto"/>
        <w:ind w:left="426" w:hanging="426"/>
        <w:jc w:val="both"/>
      </w:pPr>
      <w:r w:rsidRPr="00895EFC">
        <w:t>Integrating theoretical triangulation from framing, political economy, and media logic perspectives</w:t>
      </w:r>
    </w:p>
    <w:p w14:paraId="502A2C52" w14:textId="77777777" w:rsidR="00586055" w:rsidRPr="00895EFC" w:rsidRDefault="00586055" w:rsidP="00586055">
      <w:pPr>
        <w:spacing w:line="360" w:lineRule="auto"/>
        <w:jc w:val="both"/>
        <w:rPr>
          <w:b/>
          <w:bCs/>
        </w:rPr>
      </w:pPr>
      <w:r w:rsidRPr="00895EFC">
        <w:rPr>
          <w:b/>
          <w:bCs/>
        </w:rPr>
        <w:t>6. Ethical Considerations</w:t>
      </w:r>
    </w:p>
    <w:p w14:paraId="7CF3301C" w14:textId="77777777" w:rsidR="00586055" w:rsidRPr="00895EFC" w:rsidRDefault="00586055" w:rsidP="00895EFC">
      <w:pPr>
        <w:spacing w:after="240" w:line="360" w:lineRule="auto"/>
        <w:ind w:firstLine="720"/>
        <w:jc w:val="both"/>
      </w:pPr>
      <w:r w:rsidRPr="00895EFC">
        <w:t>This study relied exclusively on publicly available documents and news materials. No human subjects were involved, and therefore no additional ethical clearance was required. All sources are cited appropriately to maintain academic integrity. This methodological framework ensures a systematic and credible analysis of how media ownership, political affiliations, and editorial norms shape the reporting of nickel mining activities in Raja Ampat.</w:t>
      </w:r>
    </w:p>
    <w:p w14:paraId="71B43F61" w14:textId="210E6B8A" w:rsidR="00586055" w:rsidRPr="00895EFC" w:rsidRDefault="00987DC8" w:rsidP="00586055">
      <w:pPr>
        <w:spacing w:line="360" w:lineRule="auto"/>
        <w:jc w:val="both"/>
        <w:rPr>
          <w:rFonts w:eastAsia="Times New Roman"/>
          <w:b/>
        </w:rPr>
      </w:pPr>
      <w:r w:rsidRPr="00895EFC">
        <w:rPr>
          <w:rFonts w:eastAsia="Times New Roman"/>
          <w:b/>
        </w:rPr>
        <w:t>FINDING AND DISCUSSION</w:t>
      </w:r>
    </w:p>
    <w:p w14:paraId="2AF04E19" w14:textId="4F5D881F" w:rsidR="00586055" w:rsidRPr="00895EFC" w:rsidRDefault="00586055" w:rsidP="00895EFC">
      <w:pPr>
        <w:spacing w:after="240" w:line="360" w:lineRule="auto"/>
        <w:ind w:firstLine="720"/>
        <w:jc w:val="both"/>
      </w:pPr>
      <w:r w:rsidRPr="00895EFC">
        <w:t>Headline Analysis: Tempo often uses problem-oriented headlines such as 'Nickel Mining Permit Controversy in Raja Ampat' emphasizing conflict, while Media Indonesia employs neutral or positive framing like 'Five Mining Companies Operating in Raja Ampat,' which normalizes mining activities.</w:t>
      </w:r>
      <w:r w:rsidR="00895EFC" w:rsidRPr="00895EFC">
        <w:t xml:space="preserve"> </w:t>
      </w:r>
      <w:r w:rsidRPr="00895EFC">
        <w:t>Lexical Choice: Tempo frequently employs terms like 'threat,' 'damage,' and 'opposition,' whereas Media Indonesia favors terms like 'development,' 'investment,' and 'opportunity.' These word choices subtly guide audience perception. Source Attribution: Tempo prioritizes voices from NGOs, academics, and local community leaders, placing government responses toward the end of articles. Media Indonesia, conversely, foregrounds statements from government officials and company representatives, with little to no coverage of opposition voices.</w:t>
      </w:r>
    </w:p>
    <w:p w14:paraId="7CCE141B" w14:textId="54CCE078" w:rsidR="00895EFC" w:rsidRPr="00895EFC" w:rsidRDefault="00987DC8" w:rsidP="00895EFC">
      <w:pPr>
        <w:spacing w:line="360" w:lineRule="auto"/>
        <w:rPr>
          <w:b/>
          <w:bCs/>
        </w:rPr>
      </w:pPr>
      <w:r w:rsidRPr="00895EFC">
        <w:rPr>
          <w:b/>
          <w:bCs/>
        </w:rPr>
        <w:t xml:space="preserve">ETHICAL JOURNALISM </w:t>
      </w:r>
      <w:r>
        <w:rPr>
          <w:b/>
          <w:bCs/>
        </w:rPr>
        <w:t>A</w:t>
      </w:r>
      <w:r w:rsidRPr="00895EFC">
        <w:rPr>
          <w:b/>
          <w:bCs/>
        </w:rPr>
        <w:t>ND POLICY IMPLICATIONS</w:t>
      </w:r>
    </w:p>
    <w:p w14:paraId="082502FE" w14:textId="696CCE24" w:rsidR="00895EFC" w:rsidRPr="00895EFC" w:rsidRDefault="00895EFC" w:rsidP="00895EFC">
      <w:pPr>
        <w:spacing w:after="240" w:line="360" w:lineRule="auto"/>
        <w:ind w:firstLine="720"/>
        <w:jc w:val="both"/>
      </w:pPr>
      <w:r w:rsidRPr="00895EFC">
        <w:t>The ethical dimension of journalism is central to understanding these framing differences. The Society of Professional Journalists' Code of Ethics (SPJ, 2014) emphasizes accuracy, fairness, and independence as key principles. While both Tempo and Media Indonesia operate within the Indonesian legal and regulatory framework, their divergent approaches reflect varying degrees of adherence to these principles. Tempo's inclusion of multiple voices aligns with fairness and independence, whereas Media Indonesia's emphasis on government perspectives raises questions about balance and potential.</w:t>
      </w:r>
      <w:r w:rsidRPr="00895EFC">
        <w:br/>
      </w:r>
      <w:r w:rsidRPr="00895EFC">
        <w:lastRenderedPageBreak/>
        <w:t xml:space="preserve">              These observations have important policy implications. The Indonesian Press Council (Dewan Pers) could strengthen transparency requirements regarding media ownership and editorial independence to mitigate potential biases. Academic institutions can integrate media literacy education into curricula to equip citizens with tools to critically evaluate news content. Non-governmental organizations (NGOs) and community groups can also play a role by producing independent reports and amplifying marginalized voices in environmental controversies.</w:t>
      </w:r>
    </w:p>
    <w:p w14:paraId="0EF08B04" w14:textId="1C96C47B" w:rsidR="00895EFC" w:rsidRPr="00895EFC" w:rsidRDefault="00895EFC" w:rsidP="00895EFC">
      <w:pPr>
        <w:spacing w:line="360" w:lineRule="auto"/>
        <w:jc w:val="both"/>
        <w:rPr>
          <w:b/>
          <w:bCs/>
        </w:rPr>
      </w:pPr>
      <w:r w:rsidRPr="00895EFC">
        <w:rPr>
          <w:b/>
          <w:bCs/>
        </w:rPr>
        <w:t xml:space="preserve">Media Logic </w:t>
      </w:r>
      <w:r>
        <w:rPr>
          <w:b/>
          <w:bCs/>
        </w:rPr>
        <w:t>a</w:t>
      </w:r>
      <w:r w:rsidRPr="00895EFC">
        <w:rPr>
          <w:b/>
          <w:bCs/>
        </w:rPr>
        <w:t>nd Agenda-Setting Perspectives</w:t>
      </w:r>
    </w:p>
    <w:p w14:paraId="3D11C988" w14:textId="77777777" w:rsidR="00895EFC" w:rsidRPr="00895EFC" w:rsidRDefault="00895EFC" w:rsidP="00895EFC">
      <w:pPr>
        <w:spacing w:line="360" w:lineRule="auto"/>
        <w:ind w:firstLine="720"/>
        <w:jc w:val="both"/>
      </w:pPr>
      <w:r w:rsidRPr="00895EFC">
        <w:t xml:space="preserve">Beyond framing and political economy, two additional theoretical perspectives further illuminate the differences between Tempo and Media Indonesia: media logic and agenda-setting theory. Altheide and Snow (1979) introduced the concept of media logic to explain how the formats and routines of media production influence the selection and presentation of content. Under this framework, Media Indonesia's reliance on official government sources reflects a routine of reporting press releases and official statements, while Tempo's investigative tradition disrupts this logic by prioritizing alternative narratives </w:t>
      </w:r>
      <w:r w:rsidRPr="00895EFC">
        <w:br/>
        <w:t xml:space="preserve">            Agenda-setting theory (McCombs &amp; Shaw, 1972) argues that media do not tell people what to think but rather what to think about. By highlighting economic development in its headlines, Media Indonesia places government-led mining operations high on the public agenda, framing them as a legitimate topic for discussion. Tempo, conversely, elevates environmental and community concerns, thereby redefining the agenda to focus on sustainability and local impacts. These differences underscore the power of media in shaping not only public opinion but also the policy agenda, especially in resource-rich regions like Raja Ampat</w:t>
      </w:r>
    </w:p>
    <w:p w14:paraId="6E6D3F45" w14:textId="77777777" w:rsidR="00895EFC" w:rsidRPr="00895EFC" w:rsidRDefault="00895EFC" w:rsidP="00895EFC">
      <w:pPr>
        <w:spacing w:line="360" w:lineRule="auto"/>
        <w:ind w:firstLine="720"/>
        <w:jc w:val="both"/>
      </w:pPr>
      <w:r w:rsidRPr="00895EFC">
        <w:t xml:space="preserve">Framing analysis is used in this study as one of the key approaches to media content analysis. As a form of textual media analysis, framing analysis is part of the constructionist paradigm, which focuses on how the media constructs social realities and represents certain perspectives </w:t>
      </w:r>
      <w:r w:rsidRPr="00895EFC">
        <w:rPr>
          <w:i/>
          <w:iCs/>
        </w:rPr>
        <w:t>(</w:t>
      </w:r>
      <w:proofErr w:type="spellStart"/>
      <w:r w:rsidRPr="00895EFC">
        <w:rPr>
          <w:i/>
          <w:iCs/>
        </w:rPr>
        <w:t>Eriyanto</w:t>
      </w:r>
      <w:proofErr w:type="spellEnd"/>
      <w:r w:rsidRPr="00895EFC">
        <w:rPr>
          <w:i/>
          <w:iCs/>
        </w:rPr>
        <w:t>, 2011:115)</w:t>
      </w:r>
      <w:r w:rsidRPr="00895EFC">
        <w:t>.</w:t>
      </w:r>
    </w:p>
    <w:p w14:paraId="7021243D" w14:textId="77777777" w:rsidR="00895EFC" w:rsidRPr="00895EFC" w:rsidRDefault="00895EFC" w:rsidP="00895EFC">
      <w:pPr>
        <w:spacing w:after="240" w:line="360" w:lineRule="auto"/>
        <w:ind w:firstLine="720"/>
        <w:jc w:val="both"/>
      </w:pPr>
      <w:r w:rsidRPr="00895EFC">
        <w:t xml:space="preserve">In analyzing media texts, journalists often select political events as newsworthy topics that attract public interest. In the contemporary era, politics has entered the mediation stage, where mass media has become inseparable from political processes </w:t>
      </w:r>
      <w:r w:rsidRPr="00895EFC">
        <w:rPr>
          <w:i/>
          <w:iCs/>
        </w:rPr>
        <w:t>(</w:t>
      </w:r>
      <w:proofErr w:type="spellStart"/>
      <w:r w:rsidRPr="00895EFC">
        <w:rPr>
          <w:i/>
          <w:iCs/>
        </w:rPr>
        <w:t>Ibnu</w:t>
      </w:r>
      <w:proofErr w:type="spellEnd"/>
      <w:r w:rsidRPr="00895EFC">
        <w:rPr>
          <w:i/>
          <w:iCs/>
        </w:rPr>
        <w:t xml:space="preserve"> Hamad, 2004:4)</w:t>
      </w:r>
      <w:r w:rsidRPr="00895EFC">
        <w:t>.</w:t>
      </w:r>
    </w:p>
    <w:p w14:paraId="427820D6" w14:textId="77777777" w:rsidR="00895EFC" w:rsidRPr="00895EFC" w:rsidRDefault="00895EFC" w:rsidP="00895EFC">
      <w:pPr>
        <w:spacing w:line="360" w:lineRule="auto"/>
        <w:jc w:val="both"/>
      </w:pPr>
      <w:r w:rsidRPr="00895EFC">
        <w:lastRenderedPageBreak/>
        <w:t xml:space="preserve">This also applies to the case of nickel mining activities in Raja Ampat, where </w:t>
      </w:r>
      <w:r w:rsidRPr="00895EFC">
        <w:rPr>
          <w:i/>
          <w:iCs/>
        </w:rPr>
        <w:t>Tempo</w:t>
      </w:r>
      <w:r w:rsidRPr="00895EFC">
        <w:t xml:space="preserve"> and </w:t>
      </w:r>
      <w:r w:rsidRPr="00895EFC">
        <w:rPr>
          <w:i/>
          <w:iCs/>
        </w:rPr>
        <w:t>Media Indonesia</w:t>
      </w:r>
      <w:r w:rsidRPr="00895EFC">
        <w:t xml:space="preserve"> framed the issue differently:</w:t>
      </w:r>
    </w:p>
    <w:p w14:paraId="15908225" w14:textId="77777777" w:rsidR="00895EFC" w:rsidRPr="00895EFC" w:rsidRDefault="00895EFC" w:rsidP="00987DC8">
      <w:pPr>
        <w:numPr>
          <w:ilvl w:val="0"/>
          <w:numId w:val="4"/>
        </w:numPr>
        <w:tabs>
          <w:tab w:val="clear" w:pos="720"/>
        </w:tabs>
        <w:spacing w:line="360" w:lineRule="auto"/>
        <w:ind w:left="284" w:hanging="284"/>
        <w:jc w:val="both"/>
      </w:pPr>
      <w:r w:rsidRPr="00895EFC">
        <w:t>Tempo highlights the environmental and socio-economic risks posed by mining, portraying the issue with a negative sentiment.</w:t>
      </w:r>
    </w:p>
    <w:p w14:paraId="63DD7518" w14:textId="77777777" w:rsidR="00895EFC" w:rsidRPr="00895EFC" w:rsidRDefault="00895EFC" w:rsidP="00987DC8">
      <w:pPr>
        <w:numPr>
          <w:ilvl w:val="0"/>
          <w:numId w:val="4"/>
        </w:numPr>
        <w:tabs>
          <w:tab w:val="clear" w:pos="720"/>
        </w:tabs>
        <w:spacing w:line="360" w:lineRule="auto"/>
        <w:ind w:left="284" w:hanging="284"/>
        <w:jc w:val="both"/>
      </w:pPr>
      <w:r w:rsidRPr="00895EFC">
        <w:t>Media Indonesia, on the other hand, tends to emphasize government perspectives, highlighting economic opportunities and portraying mining activities with a positive sentiment. These divergent approaches demonstrate that media ownership and political affiliations play a crucial role in shaping framing strategies and influencing public opinion. This pattern has implications for media credibility and public trust. Audiences increasingly rely on online platforms for news, yet algorithmic curation may amplify frames that favor dominant actors. Understanding these dynamics is essential for fostering media literacy and encouraging balanced reporting.</w:t>
      </w:r>
    </w:p>
    <w:p w14:paraId="41E207A4" w14:textId="77777777" w:rsidR="00895EFC" w:rsidRPr="00895EFC" w:rsidRDefault="00895EFC" w:rsidP="00895EFC">
      <w:pPr>
        <w:spacing w:line="360" w:lineRule="auto"/>
        <w:jc w:val="center"/>
        <w:rPr>
          <w:b/>
          <w:bCs/>
        </w:rPr>
      </w:pPr>
      <w:proofErr w:type="spellStart"/>
      <w:r w:rsidRPr="00895EFC">
        <w:rPr>
          <w:b/>
          <w:bCs/>
        </w:rPr>
        <w:t>Tabel</w:t>
      </w:r>
      <w:proofErr w:type="spellEnd"/>
      <w:r w:rsidRPr="00895EFC">
        <w:rPr>
          <w:b/>
          <w:bCs/>
        </w:rPr>
        <w:t xml:space="preserve"> 1</w:t>
      </w:r>
    </w:p>
    <w:tbl>
      <w:tblPr>
        <w:tblStyle w:val="TableGrid"/>
        <w:tblW w:w="0" w:type="auto"/>
        <w:tblInd w:w="1129" w:type="dxa"/>
        <w:tblLook w:val="04A0" w:firstRow="1" w:lastRow="0" w:firstColumn="1" w:lastColumn="0" w:noHBand="0" w:noVBand="1"/>
      </w:tblPr>
      <w:tblGrid>
        <w:gridCol w:w="7202"/>
      </w:tblGrid>
      <w:tr w:rsidR="00895EFC" w:rsidRPr="00895EFC" w14:paraId="6D543B70" w14:textId="77777777" w:rsidTr="00987DC8">
        <w:tc>
          <w:tcPr>
            <w:tcW w:w="7202" w:type="dxa"/>
          </w:tcPr>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09"/>
              <w:gridCol w:w="2911"/>
            </w:tblGrid>
            <w:tr w:rsidR="00895EFC" w:rsidRPr="00895EFC" w14:paraId="648C2655" w14:textId="77777777" w:rsidTr="00987DC8">
              <w:tc>
                <w:tcPr>
                  <w:tcW w:w="1952" w:type="dxa"/>
                </w:tcPr>
                <w:p w14:paraId="174BE3F7" w14:textId="77777777" w:rsidR="00895EFC" w:rsidRPr="00987DC8" w:rsidRDefault="00895EFC" w:rsidP="00987DC8">
                  <w:pPr>
                    <w:spacing w:line="360" w:lineRule="auto"/>
                    <w:jc w:val="center"/>
                    <w:rPr>
                      <w:b/>
                      <w:bCs/>
                    </w:rPr>
                  </w:pPr>
                  <w:r w:rsidRPr="00987DC8">
                    <w:rPr>
                      <w:b/>
                      <w:bCs/>
                    </w:rPr>
                    <w:t>Aspect</w:t>
                  </w:r>
                </w:p>
              </w:tc>
              <w:tc>
                <w:tcPr>
                  <w:tcW w:w="2109" w:type="dxa"/>
                </w:tcPr>
                <w:p w14:paraId="557535D9" w14:textId="77777777" w:rsidR="00895EFC" w:rsidRPr="00987DC8" w:rsidRDefault="00895EFC" w:rsidP="00987DC8">
                  <w:pPr>
                    <w:spacing w:line="360" w:lineRule="auto"/>
                    <w:jc w:val="center"/>
                    <w:rPr>
                      <w:b/>
                      <w:bCs/>
                    </w:rPr>
                  </w:pPr>
                  <w:r w:rsidRPr="00987DC8">
                    <w:rPr>
                      <w:b/>
                      <w:bCs/>
                    </w:rPr>
                    <w:t>Tempo</w:t>
                  </w:r>
                </w:p>
              </w:tc>
              <w:tc>
                <w:tcPr>
                  <w:tcW w:w="2911" w:type="dxa"/>
                </w:tcPr>
                <w:p w14:paraId="0C9FABBD" w14:textId="77777777" w:rsidR="00895EFC" w:rsidRPr="00987DC8" w:rsidRDefault="00895EFC" w:rsidP="00987DC8">
                  <w:pPr>
                    <w:spacing w:line="360" w:lineRule="auto"/>
                    <w:jc w:val="center"/>
                    <w:rPr>
                      <w:b/>
                      <w:bCs/>
                    </w:rPr>
                  </w:pPr>
                  <w:r w:rsidRPr="00987DC8">
                    <w:rPr>
                      <w:b/>
                      <w:bCs/>
                    </w:rPr>
                    <w:t>Media Indonesia</w:t>
                  </w:r>
                </w:p>
              </w:tc>
            </w:tr>
            <w:tr w:rsidR="00895EFC" w:rsidRPr="00895EFC" w14:paraId="01A00B0D" w14:textId="77777777" w:rsidTr="00987DC8">
              <w:tc>
                <w:tcPr>
                  <w:tcW w:w="1952" w:type="dxa"/>
                </w:tcPr>
                <w:p w14:paraId="6FA77F51" w14:textId="77777777" w:rsidR="00895EFC" w:rsidRPr="00895EFC" w:rsidRDefault="00895EFC" w:rsidP="0025085E">
                  <w:pPr>
                    <w:spacing w:line="360" w:lineRule="auto"/>
                    <w:jc w:val="both"/>
                  </w:pPr>
                  <w:r w:rsidRPr="00895EFC">
                    <w:t>Common Headlines</w:t>
                  </w:r>
                </w:p>
              </w:tc>
              <w:tc>
                <w:tcPr>
                  <w:tcW w:w="2109" w:type="dxa"/>
                </w:tcPr>
                <w:p w14:paraId="07CC2A9C" w14:textId="77777777" w:rsidR="00895EFC" w:rsidRPr="00895EFC" w:rsidRDefault="00895EFC" w:rsidP="0025085E">
                  <w:pPr>
                    <w:spacing w:line="360" w:lineRule="auto"/>
                    <w:jc w:val="both"/>
                  </w:pPr>
                  <w:r w:rsidRPr="00895EFC">
                    <w:t>“Nickel Mining Permit Controversy”</w:t>
                  </w:r>
                </w:p>
              </w:tc>
              <w:tc>
                <w:tcPr>
                  <w:tcW w:w="2911" w:type="dxa"/>
                </w:tcPr>
                <w:p w14:paraId="3E8B509A" w14:textId="77777777" w:rsidR="00895EFC" w:rsidRPr="00895EFC" w:rsidRDefault="00895EFC" w:rsidP="0025085E">
                  <w:pPr>
                    <w:spacing w:line="360" w:lineRule="auto"/>
                    <w:jc w:val="both"/>
                  </w:pPr>
                  <w:r w:rsidRPr="00895EFC">
                    <w:t>“Five Mining Companies Operating”</w:t>
                  </w:r>
                </w:p>
              </w:tc>
            </w:tr>
            <w:tr w:rsidR="00895EFC" w:rsidRPr="00895EFC" w14:paraId="5F9DF331" w14:textId="77777777" w:rsidTr="00987DC8">
              <w:tc>
                <w:tcPr>
                  <w:tcW w:w="1952" w:type="dxa"/>
                </w:tcPr>
                <w:p w14:paraId="73D4A2CC" w14:textId="77777777" w:rsidR="00895EFC" w:rsidRPr="00895EFC" w:rsidRDefault="00895EFC" w:rsidP="0025085E">
                  <w:pPr>
                    <w:spacing w:line="360" w:lineRule="auto"/>
                    <w:jc w:val="both"/>
                  </w:pPr>
                  <w:r w:rsidRPr="00895EFC">
                    <w:t>Lexical Focus</w:t>
                  </w:r>
                </w:p>
              </w:tc>
              <w:tc>
                <w:tcPr>
                  <w:tcW w:w="2109" w:type="dxa"/>
                </w:tcPr>
                <w:p w14:paraId="3F766B57" w14:textId="77777777" w:rsidR="00895EFC" w:rsidRPr="00895EFC" w:rsidRDefault="00895EFC" w:rsidP="0025085E">
                  <w:pPr>
                    <w:spacing w:line="360" w:lineRule="auto"/>
                    <w:jc w:val="both"/>
                  </w:pPr>
                  <w:r w:rsidRPr="00895EFC">
                    <w:t>“Threat,” “Damage,” “Opposition”</w:t>
                  </w:r>
                </w:p>
              </w:tc>
              <w:tc>
                <w:tcPr>
                  <w:tcW w:w="2911" w:type="dxa"/>
                </w:tcPr>
                <w:p w14:paraId="3D00B7F4" w14:textId="77777777" w:rsidR="00895EFC" w:rsidRPr="00895EFC" w:rsidRDefault="00895EFC" w:rsidP="0025085E">
                  <w:pPr>
                    <w:spacing w:line="360" w:lineRule="auto"/>
                    <w:jc w:val="both"/>
                  </w:pPr>
                  <w:r w:rsidRPr="00895EFC">
                    <w:t>“Development,” “Investment,” “Opportunity”</w:t>
                  </w:r>
                </w:p>
              </w:tc>
            </w:tr>
          </w:tbl>
          <w:p w14:paraId="498779B0" w14:textId="77777777" w:rsidR="00895EFC" w:rsidRPr="00895EFC" w:rsidRDefault="00895EFC" w:rsidP="0025085E">
            <w:pPr>
              <w:spacing w:line="360" w:lineRule="auto"/>
            </w:pPr>
          </w:p>
        </w:tc>
      </w:tr>
    </w:tbl>
    <w:p w14:paraId="5379241C" w14:textId="77777777" w:rsidR="00895EFC" w:rsidRPr="00895EFC" w:rsidRDefault="00895EFC" w:rsidP="00895EFC">
      <w:pPr>
        <w:spacing w:line="360" w:lineRule="auto"/>
        <w:jc w:val="center"/>
      </w:pPr>
      <w:r w:rsidRPr="00895EFC">
        <w:t>Source: Author Analysis</w:t>
      </w:r>
    </w:p>
    <w:p w14:paraId="696B19B7" w14:textId="77777777" w:rsidR="00895EFC" w:rsidRPr="00895EFC" w:rsidRDefault="00895EFC" w:rsidP="00895EFC">
      <w:pPr>
        <w:spacing w:line="360" w:lineRule="auto"/>
        <w:jc w:val="both"/>
        <w:rPr>
          <w:b/>
          <w:bCs/>
        </w:rPr>
      </w:pPr>
      <w:r w:rsidRPr="00895EFC">
        <w:rPr>
          <w:b/>
          <w:bCs/>
        </w:rPr>
        <w:t>Framing in Tempo</w:t>
      </w:r>
    </w:p>
    <w:p w14:paraId="4CC66FA0" w14:textId="77777777" w:rsidR="00895EFC" w:rsidRPr="00895EFC" w:rsidRDefault="00895EFC" w:rsidP="00895EFC">
      <w:pPr>
        <w:spacing w:line="360" w:lineRule="auto"/>
        <w:ind w:firstLine="720"/>
        <w:jc w:val="both"/>
      </w:pPr>
      <w:r w:rsidRPr="00895EFC">
        <w:rPr>
          <w:i/>
          <w:iCs/>
        </w:rPr>
        <w:t>Tempo</w:t>
      </w:r>
      <w:r w:rsidRPr="00895EFC">
        <w:t xml:space="preserve"> adopts an investigative journalism style, characterized by a critical and questioning approach. In its article titled “Nickel Mining Permit Controversy in Raja Ampat” </w:t>
      </w:r>
      <w:r w:rsidRPr="00895EFC">
        <w:rPr>
          <w:i/>
          <w:iCs/>
        </w:rPr>
        <w:t>(June 13, 2025 Tempo)</w:t>
      </w:r>
      <w:r w:rsidRPr="00895EFC">
        <w:t xml:space="preserve">, </w:t>
      </w:r>
      <w:r w:rsidRPr="00895EFC">
        <w:rPr>
          <w:i/>
          <w:iCs/>
        </w:rPr>
        <w:t>Tempo</w:t>
      </w:r>
      <w:r w:rsidRPr="00895EFC">
        <w:t xml:space="preserve"> focuses on:</w:t>
      </w:r>
    </w:p>
    <w:p w14:paraId="73B52769" w14:textId="77777777" w:rsidR="00895EFC" w:rsidRPr="00895EFC" w:rsidRDefault="00895EFC" w:rsidP="005B1DD8">
      <w:pPr>
        <w:numPr>
          <w:ilvl w:val="0"/>
          <w:numId w:val="5"/>
        </w:numPr>
        <w:tabs>
          <w:tab w:val="clear" w:pos="720"/>
        </w:tabs>
        <w:spacing w:line="360" w:lineRule="auto"/>
        <w:ind w:left="284" w:hanging="284"/>
        <w:jc w:val="both"/>
      </w:pPr>
      <w:r w:rsidRPr="00895EFC">
        <w:t>The strategic economic interests of stakeholders in Raja Ampat.</w:t>
      </w:r>
    </w:p>
    <w:p w14:paraId="07B5E2A1" w14:textId="77777777" w:rsidR="00895EFC" w:rsidRPr="00895EFC" w:rsidRDefault="00895EFC" w:rsidP="005B1DD8">
      <w:pPr>
        <w:numPr>
          <w:ilvl w:val="0"/>
          <w:numId w:val="5"/>
        </w:numPr>
        <w:tabs>
          <w:tab w:val="clear" w:pos="720"/>
        </w:tabs>
        <w:spacing w:line="360" w:lineRule="auto"/>
        <w:ind w:left="284" w:hanging="284"/>
        <w:jc w:val="both"/>
      </w:pPr>
      <w:r w:rsidRPr="00895EFC">
        <w:t>Criticism from environmentalists, academics, and local communities opposing nickel mining.</w:t>
      </w:r>
    </w:p>
    <w:p w14:paraId="67C3FB26" w14:textId="77777777" w:rsidR="00895EFC" w:rsidRPr="00895EFC" w:rsidRDefault="00895EFC" w:rsidP="005B1DD8">
      <w:pPr>
        <w:numPr>
          <w:ilvl w:val="0"/>
          <w:numId w:val="5"/>
        </w:numPr>
        <w:tabs>
          <w:tab w:val="clear" w:pos="720"/>
        </w:tabs>
        <w:spacing w:line="360" w:lineRule="auto"/>
        <w:ind w:left="284" w:hanging="284"/>
        <w:jc w:val="both"/>
      </w:pPr>
      <w:r w:rsidRPr="00895EFC">
        <w:t>The risk of environmental damage, including threats to marine ecosystems and biodiversity.</w:t>
      </w:r>
    </w:p>
    <w:p w14:paraId="6486D7A4" w14:textId="45401DEF" w:rsidR="00895EFC" w:rsidRPr="00895EFC" w:rsidRDefault="00895EFC" w:rsidP="005B1DD8">
      <w:pPr>
        <w:numPr>
          <w:ilvl w:val="0"/>
          <w:numId w:val="5"/>
        </w:numPr>
        <w:tabs>
          <w:tab w:val="clear" w:pos="720"/>
        </w:tabs>
        <w:spacing w:line="360" w:lineRule="auto"/>
        <w:ind w:left="284" w:hanging="284"/>
        <w:jc w:val="both"/>
      </w:pPr>
      <w:r w:rsidRPr="00895EFC">
        <w:t>Concerns over the potential disruption of local livelihoods, particularly for fishing communities.</w:t>
      </w:r>
      <w:r>
        <w:t xml:space="preserve"> </w:t>
      </w:r>
    </w:p>
    <w:p w14:paraId="240B8B91" w14:textId="77777777" w:rsidR="00895EFC" w:rsidRPr="00895EFC" w:rsidRDefault="00895EFC" w:rsidP="00987DC8">
      <w:pPr>
        <w:spacing w:line="360" w:lineRule="auto"/>
        <w:ind w:firstLine="720"/>
        <w:jc w:val="both"/>
      </w:pPr>
      <w:r w:rsidRPr="00895EFC">
        <w:lastRenderedPageBreak/>
        <w:t xml:space="preserve">Although </w:t>
      </w:r>
      <w:r w:rsidRPr="00895EFC">
        <w:rPr>
          <w:i/>
          <w:iCs/>
        </w:rPr>
        <w:t>Tempo</w:t>
      </w:r>
      <w:r w:rsidRPr="00895EFC">
        <w:t xml:space="preserve"> predominantly features anti-mining perspectives, it still includes government statements as supporting information. However, such statements are often placed toward the end of the articles, showing a framing bias favoring environmental conservation.</w:t>
      </w:r>
    </w:p>
    <w:p w14:paraId="69F5FD1C" w14:textId="77777777" w:rsidR="00895EFC" w:rsidRPr="00895EFC" w:rsidRDefault="00895EFC" w:rsidP="00895EFC">
      <w:pPr>
        <w:spacing w:line="360" w:lineRule="auto"/>
        <w:jc w:val="both"/>
      </w:pPr>
    </w:p>
    <w:p w14:paraId="78B8CE21" w14:textId="77777777" w:rsidR="00895EFC" w:rsidRPr="00895EFC" w:rsidRDefault="00895EFC" w:rsidP="00895EFC">
      <w:pPr>
        <w:spacing w:line="360" w:lineRule="auto"/>
        <w:jc w:val="both"/>
        <w:rPr>
          <w:b/>
          <w:bCs/>
        </w:rPr>
      </w:pPr>
      <w:r w:rsidRPr="00895EFC">
        <w:rPr>
          <w:b/>
          <w:bCs/>
        </w:rPr>
        <w:t>Framing in Media Indonesia</w:t>
      </w:r>
    </w:p>
    <w:p w14:paraId="64C8D12E" w14:textId="77777777" w:rsidR="00895EFC" w:rsidRPr="00895EFC" w:rsidRDefault="00895EFC" w:rsidP="00895EFC">
      <w:pPr>
        <w:spacing w:line="360" w:lineRule="auto"/>
        <w:jc w:val="both"/>
      </w:pPr>
      <w:r w:rsidRPr="00895EFC">
        <w:t xml:space="preserve">Conversely, </w:t>
      </w:r>
      <w:r w:rsidRPr="00895EFC">
        <w:rPr>
          <w:i/>
          <w:iCs/>
        </w:rPr>
        <w:t>Media Indonesia</w:t>
      </w:r>
      <w:r w:rsidRPr="00895EFC">
        <w:t xml:space="preserve"> frames the issue with a pro-government and pro-economic development perspective. In its article titled “Five Mining Companies Operating in Raja Ampat” </w:t>
      </w:r>
      <w:r w:rsidRPr="00895EFC">
        <w:rPr>
          <w:i/>
          <w:iCs/>
        </w:rPr>
        <w:t>(June 8, 2025 Media Indonesia)</w:t>
      </w:r>
      <w:r w:rsidRPr="00895EFC">
        <w:t>, the outlet emphasizes:</w:t>
      </w:r>
    </w:p>
    <w:p w14:paraId="070DC208" w14:textId="77777777" w:rsidR="00895EFC" w:rsidRPr="00895EFC" w:rsidRDefault="00895EFC" w:rsidP="00987DC8">
      <w:pPr>
        <w:numPr>
          <w:ilvl w:val="0"/>
          <w:numId w:val="6"/>
        </w:numPr>
        <w:tabs>
          <w:tab w:val="clear" w:pos="720"/>
        </w:tabs>
        <w:spacing w:line="360" w:lineRule="auto"/>
        <w:ind w:left="284" w:hanging="284"/>
        <w:jc w:val="both"/>
      </w:pPr>
      <w:r w:rsidRPr="00895EFC">
        <w:t>Government assurances that nickel mining activities are safe and comply with regulations.</w:t>
      </w:r>
    </w:p>
    <w:p w14:paraId="35D96B19" w14:textId="77777777" w:rsidR="00895EFC" w:rsidRPr="00895EFC" w:rsidRDefault="00895EFC" w:rsidP="00987DC8">
      <w:pPr>
        <w:numPr>
          <w:ilvl w:val="0"/>
          <w:numId w:val="6"/>
        </w:numPr>
        <w:tabs>
          <w:tab w:val="clear" w:pos="720"/>
        </w:tabs>
        <w:spacing w:line="360" w:lineRule="auto"/>
        <w:ind w:left="284" w:hanging="284"/>
        <w:jc w:val="both"/>
      </w:pPr>
      <w:r w:rsidRPr="00895EFC">
        <w:t>Positive statements from the Ministry of Energy and Mineral Resources (ESDM), the Raja Ampat regency government, and representatives from PT Gag Nickel and other companies.</w:t>
      </w:r>
    </w:p>
    <w:p w14:paraId="70EE6EC7" w14:textId="77777777" w:rsidR="00895EFC" w:rsidRPr="00895EFC" w:rsidRDefault="00895EFC" w:rsidP="00987DC8">
      <w:pPr>
        <w:numPr>
          <w:ilvl w:val="0"/>
          <w:numId w:val="6"/>
        </w:numPr>
        <w:tabs>
          <w:tab w:val="clear" w:pos="720"/>
        </w:tabs>
        <w:spacing w:line="360" w:lineRule="auto"/>
        <w:ind w:left="284" w:hanging="284"/>
        <w:jc w:val="both"/>
      </w:pPr>
      <w:r w:rsidRPr="00895EFC">
        <w:t>The economic benefits of nickel mining, portraying it as an opportunity to boost national income and regional development.</w:t>
      </w:r>
    </w:p>
    <w:p w14:paraId="061CBA30" w14:textId="77777777" w:rsidR="00895EFC" w:rsidRPr="00895EFC" w:rsidRDefault="00895EFC" w:rsidP="00987DC8">
      <w:pPr>
        <w:numPr>
          <w:ilvl w:val="0"/>
          <w:numId w:val="6"/>
        </w:numPr>
        <w:tabs>
          <w:tab w:val="clear" w:pos="720"/>
        </w:tabs>
        <w:spacing w:line="360" w:lineRule="auto"/>
        <w:ind w:left="284" w:hanging="284"/>
        <w:jc w:val="both"/>
      </w:pPr>
      <w:r w:rsidRPr="00895EFC">
        <w:t>Supportive narratives suggesting that mining operations do not harm ecosystems or local communities.</w:t>
      </w:r>
    </w:p>
    <w:p w14:paraId="171F7A83" w14:textId="77777777" w:rsidR="00895EFC" w:rsidRPr="00895EFC" w:rsidRDefault="00895EFC" w:rsidP="00987DC8">
      <w:pPr>
        <w:spacing w:line="360" w:lineRule="auto"/>
        <w:ind w:firstLine="720"/>
        <w:jc w:val="both"/>
      </w:pPr>
      <w:r w:rsidRPr="00895EFC">
        <w:rPr>
          <w:i/>
          <w:iCs/>
        </w:rPr>
        <w:t>Media Indonesia</w:t>
      </w:r>
      <w:r w:rsidRPr="00895EFC">
        <w:t xml:space="preserve"> constructs its framing through selective sourcing by predominantly featuring government officials and company representatives, while voices opposing mining are minimized or excluded.</w:t>
      </w:r>
    </w:p>
    <w:p w14:paraId="2DABBA79" w14:textId="77777777" w:rsidR="00895EFC" w:rsidRPr="00895EFC" w:rsidRDefault="00895EFC" w:rsidP="00895EFC">
      <w:pPr>
        <w:spacing w:line="360" w:lineRule="auto"/>
        <w:jc w:val="both"/>
      </w:pPr>
    </w:p>
    <w:p w14:paraId="301D875B" w14:textId="3A3CCAA0" w:rsidR="00895EFC" w:rsidRPr="00895EFC" w:rsidRDefault="00987DC8" w:rsidP="00895EFC">
      <w:pPr>
        <w:spacing w:line="360" w:lineRule="auto"/>
        <w:jc w:val="both"/>
        <w:rPr>
          <w:b/>
          <w:bCs/>
        </w:rPr>
      </w:pPr>
      <w:r w:rsidRPr="00895EFC">
        <w:rPr>
          <w:b/>
          <w:bCs/>
        </w:rPr>
        <w:t>SUMMARY OF FINDINGS</w:t>
      </w:r>
    </w:p>
    <w:p w14:paraId="77DE67E6" w14:textId="77777777" w:rsidR="00895EFC" w:rsidRPr="00895EFC" w:rsidRDefault="00895EFC" w:rsidP="00987DC8">
      <w:pPr>
        <w:spacing w:line="360" w:lineRule="auto"/>
        <w:ind w:firstLine="720"/>
        <w:jc w:val="both"/>
      </w:pPr>
      <w:r w:rsidRPr="00895EFC">
        <w:t>The contrasting reporting styles demonstrate how media political economy influences news framing:</w:t>
      </w:r>
    </w:p>
    <w:p w14:paraId="2A44EB73" w14:textId="77777777" w:rsidR="00895EFC" w:rsidRPr="00895EFC" w:rsidRDefault="00895EFC" w:rsidP="00895EFC">
      <w:pPr>
        <w:spacing w:line="360" w:lineRule="auto"/>
        <w:jc w:val="center"/>
      </w:pPr>
      <w:r w:rsidRPr="00895EFC">
        <w:rPr>
          <w:rFonts w:eastAsia="Times New Roman"/>
          <w:b/>
        </w:rPr>
        <w:t>Table 2</w:t>
      </w:r>
    </w:p>
    <w:tbl>
      <w:tblPr>
        <w:tblStyle w:val="PlainTable2"/>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4069"/>
        <w:gridCol w:w="3337"/>
      </w:tblGrid>
      <w:tr w:rsidR="00987DC8" w:rsidRPr="00895EFC" w14:paraId="39F271BA" w14:textId="77777777" w:rsidTr="00987DC8">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000" w:firstRow="0" w:lastRow="0" w:firstColumn="1" w:lastColumn="0" w:oddVBand="0" w:evenVBand="0" w:oddHBand="0" w:evenHBand="0" w:firstRowFirstColumn="0" w:firstRowLastColumn="0" w:lastRowFirstColumn="0" w:lastRowLastColumn="0"/>
            <w:tcW w:w="1738" w:type="dxa"/>
            <w:tcBorders>
              <w:bottom w:val="none" w:sz="0" w:space="0" w:color="auto"/>
            </w:tcBorders>
            <w:hideMark/>
          </w:tcPr>
          <w:p w14:paraId="69B549C3" w14:textId="77777777" w:rsidR="00987DC8" w:rsidRPr="00987DC8" w:rsidRDefault="00987DC8" w:rsidP="00167D1B">
            <w:pPr>
              <w:spacing w:line="360" w:lineRule="auto"/>
              <w:jc w:val="center"/>
            </w:pPr>
            <w:r w:rsidRPr="00987DC8">
              <w:t>Aspect</w:t>
            </w:r>
          </w:p>
        </w:tc>
        <w:tc>
          <w:tcPr>
            <w:tcW w:w="4069" w:type="dxa"/>
            <w:tcBorders>
              <w:bottom w:val="none" w:sz="0" w:space="0" w:color="auto"/>
            </w:tcBorders>
            <w:hideMark/>
          </w:tcPr>
          <w:p w14:paraId="6ADBBA85" w14:textId="77777777" w:rsidR="00987DC8" w:rsidRPr="00987DC8" w:rsidRDefault="00987DC8" w:rsidP="00167D1B">
            <w:pPr>
              <w:spacing w:line="360" w:lineRule="auto"/>
              <w:jc w:val="center"/>
              <w:cnfStyle w:val="100000000000" w:firstRow="1" w:lastRow="0" w:firstColumn="0" w:lastColumn="0" w:oddVBand="0" w:evenVBand="0" w:oddHBand="0" w:evenHBand="0" w:firstRowFirstColumn="0" w:firstRowLastColumn="0" w:lastRowFirstColumn="0" w:lastRowLastColumn="0"/>
            </w:pPr>
            <w:r w:rsidRPr="00987DC8">
              <w:t xml:space="preserve">Tempo </w:t>
            </w:r>
            <w:r w:rsidRPr="00987DC8">
              <w:rPr>
                <w:i/>
                <w:iCs/>
              </w:rPr>
              <w:t>(Investigative)</w:t>
            </w:r>
          </w:p>
        </w:tc>
        <w:tc>
          <w:tcPr>
            <w:tcW w:w="3337" w:type="dxa"/>
            <w:tcBorders>
              <w:bottom w:val="none" w:sz="0" w:space="0" w:color="auto"/>
            </w:tcBorders>
            <w:hideMark/>
          </w:tcPr>
          <w:p w14:paraId="0A8F63C0" w14:textId="77777777" w:rsidR="00987DC8" w:rsidRPr="00987DC8" w:rsidRDefault="00987DC8" w:rsidP="00167D1B">
            <w:pPr>
              <w:spacing w:line="360" w:lineRule="auto"/>
              <w:jc w:val="center"/>
              <w:cnfStyle w:val="100000000000" w:firstRow="1" w:lastRow="0" w:firstColumn="0" w:lastColumn="0" w:oddVBand="0" w:evenVBand="0" w:oddHBand="0" w:evenHBand="0" w:firstRowFirstColumn="0" w:firstRowLastColumn="0" w:lastRowFirstColumn="0" w:lastRowLastColumn="0"/>
            </w:pPr>
            <w:r w:rsidRPr="00987DC8">
              <w:t xml:space="preserve">Media Indonesia </w:t>
            </w:r>
            <w:r w:rsidRPr="00987DC8">
              <w:rPr>
                <w:i/>
                <w:iCs/>
              </w:rPr>
              <w:t>(Pro-Government)</w:t>
            </w:r>
          </w:p>
        </w:tc>
      </w:tr>
      <w:tr w:rsidR="00987DC8" w:rsidRPr="00895EFC" w14:paraId="133A176F" w14:textId="77777777" w:rsidTr="00987DC8">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38" w:type="dxa"/>
            <w:tcBorders>
              <w:top w:val="none" w:sz="0" w:space="0" w:color="auto"/>
              <w:bottom w:val="none" w:sz="0" w:space="0" w:color="auto"/>
            </w:tcBorders>
            <w:hideMark/>
          </w:tcPr>
          <w:p w14:paraId="2501B028" w14:textId="77777777" w:rsidR="00987DC8" w:rsidRPr="00895EFC" w:rsidRDefault="00987DC8" w:rsidP="00167D1B">
            <w:pPr>
              <w:spacing w:line="360" w:lineRule="auto"/>
              <w:jc w:val="both"/>
              <w:rPr>
                <w:b w:val="0"/>
                <w:bCs w:val="0"/>
              </w:rPr>
            </w:pPr>
            <w:r w:rsidRPr="00895EFC">
              <w:rPr>
                <w:b w:val="0"/>
                <w:bCs w:val="0"/>
              </w:rPr>
              <w:t>Framing Tone</w:t>
            </w:r>
          </w:p>
        </w:tc>
        <w:tc>
          <w:tcPr>
            <w:tcW w:w="4069" w:type="dxa"/>
            <w:tcBorders>
              <w:top w:val="none" w:sz="0" w:space="0" w:color="auto"/>
              <w:bottom w:val="none" w:sz="0" w:space="0" w:color="auto"/>
            </w:tcBorders>
            <w:hideMark/>
          </w:tcPr>
          <w:p w14:paraId="4CCFC23A" w14:textId="77777777" w:rsidR="00987DC8" w:rsidRPr="00895EFC" w:rsidRDefault="00987DC8" w:rsidP="00167D1B">
            <w:pPr>
              <w:spacing w:line="360" w:lineRule="auto"/>
              <w:jc w:val="both"/>
              <w:cnfStyle w:val="000000100000" w:firstRow="0" w:lastRow="0" w:firstColumn="0" w:lastColumn="0" w:oddVBand="0" w:evenVBand="0" w:oddHBand="1" w:evenHBand="0" w:firstRowFirstColumn="0" w:firstRowLastColumn="0" w:lastRowFirstColumn="0" w:lastRowLastColumn="0"/>
            </w:pPr>
            <w:r w:rsidRPr="00895EFC">
              <w:t>Negative / Critical</w:t>
            </w:r>
          </w:p>
        </w:tc>
        <w:tc>
          <w:tcPr>
            <w:tcW w:w="3337" w:type="dxa"/>
            <w:tcBorders>
              <w:top w:val="none" w:sz="0" w:space="0" w:color="auto"/>
              <w:bottom w:val="none" w:sz="0" w:space="0" w:color="auto"/>
            </w:tcBorders>
            <w:hideMark/>
          </w:tcPr>
          <w:p w14:paraId="595B00C9" w14:textId="77777777" w:rsidR="00987DC8" w:rsidRPr="00895EFC" w:rsidRDefault="00987DC8" w:rsidP="00167D1B">
            <w:pPr>
              <w:spacing w:line="360" w:lineRule="auto"/>
              <w:jc w:val="both"/>
              <w:cnfStyle w:val="000000100000" w:firstRow="0" w:lastRow="0" w:firstColumn="0" w:lastColumn="0" w:oddVBand="0" w:evenVBand="0" w:oddHBand="1" w:evenHBand="0" w:firstRowFirstColumn="0" w:firstRowLastColumn="0" w:lastRowFirstColumn="0" w:lastRowLastColumn="0"/>
            </w:pPr>
            <w:r w:rsidRPr="00895EFC">
              <w:t>Positive / Supportive</w:t>
            </w:r>
          </w:p>
        </w:tc>
      </w:tr>
      <w:tr w:rsidR="00987DC8" w:rsidRPr="00895EFC" w14:paraId="5FA03CDB" w14:textId="77777777" w:rsidTr="00987DC8">
        <w:trPr>
          <w:trHeight w:val="784"/>
        </w:trPr>
        <w:tc>
          <w:tcPr>
            <w:cnfStyle w:val="001000000000" w:firstRow="0" w:lastRow="0" w:firstColumn="1" w:lastColumn="0" w:oddVBand="0" w:evenVBand="0" w:oddHBand="0" w:evenHBand="0" w:firstRowFirstColumn="0" w:firstRowLastColumn="0" w:lastRowFirstColumn="0" w:lastRowLastColumn="0"/>
            <w:tcW w:w="1738" w:type="dxa"/>
            <w:hideMark/>
          </w:tcPr>
          <w:p w14:paraId="36A1ACD4" w14:textId="77777777" w:rsidR="00987DC8" w:rsidRPr="00895EFC" w:rsidRDefault="00987DC8" w:rsidP="00167D1B">
            <w:pPr>
              <w:spacing w:line="360" w:lineRule="auto"/>
              <w:jc w:val="both"/>
              <w:rPr>
                <w:b w:val="0"/>
                <w:bCs w:val="0"/>
              </w:rPr>
            </w:pPr>
            <w:r w:rsidRPr="00895EFC">
              <w:rPr>
                <w:b w:val="0"/>
                <w:bCs w:val="0"/>
              </w:rPr>
              <w:t>Main Focus</w:t>
            </w:r>
          </w:p>
        </w:tc>
        <w:tc>
          <w:tcPr>
            <w:tcW w:w="4069" w:type="dxa"/>
            <w:hideMark/>
          </w:tcPr>
          <w:p w14:paraId="737020FF" w14:textId="77777777" w:rsidR="00987DC8" w:rsidRPr="00895EFC" w:rsidRDefault="00987DC8" w:rsidP="00167D1B">
            <w:pPr>
              <w:spacing w:line="360" w:lineRule="auto"/>
              <w:jc w:val="both"/>
              <w:cnfStyle w:val="000000000000" w:firstRow="0" w:lastRow="0" w:firstColumn="0" w:lastColumn="0" w:oddVBand="0" w:evenVBand="0" w:oddHBand="0" w:evenHBand="0" w:firstRowFirstColumn="0" w:firstRowLastColumn="0" w:lastRowFirstColumn="0" w:lastRowLastColumn="0"/>
            </w:pPr>
            <w:r w:rsidRPr="00895EFC">
              <w:t>Environmental damage, social impact</w:t>
            </w:r>
          </w:p>
        </w:tc>
        <w:tc>
          <w:tcPr>
            <w:tcW w:w="3337" w:type="dxa"/>
            <w:hideMark/>
          </w:tcPr>
          <w:p w14:paraId="2FAECAA1" w14:textId="77777777" w:rsidR="00987DC8" w:rsidRPr="00895EFC" w:rsidRDefault="00987DC8" w:rsidP="00167D1B">
            <w:pPr>
              <w:spacing w:line="360" w:lineRule="auto"/>
              <w:jc w:val="both"/>
              <w:cnfStyle w:val="000000000000" w:firstRow="0" w:lastRow="0" w:firstColumn="0" w:lastColumn="0" w:oddVBand="0" w:evenVBand="0" w:oddHBand="0" w:evenHBand="0" w:firstRowFirstColumn="0" w:firstRowLastColumn="0" w:lastRowFirstColumn="0" w:lastRowLastColumn="0"/>
            </w:pPr>
            <w:r w:rsidRPr="00895EFC">
              <w:t>Economic growth, government policy</w:t>
            </w:r>
          </w:p>
        </w:tc>
      </w:tr>
      <w:tr w:rsidR="00987DC8" w:rsidRPr="00895EFC" w14:paraId="6C04244C" w14:textId="77777777" w:rsidTr="00987DC8">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738" w:type="dxa"/>
            <w:tcBorders>
              <w:top w:val="none" w:sz="0" w:space="0" w:color="auto"/>
              <w:bottom w:val="none" w:sz="0" w:space="0" w:color="auto"/>
            </w:tcBorders>
            <w:hideMark/>
          </w:tcPr>
          <w:p w14:paraId="214B8A82" w14:textId="77777777" w:rsidR="00987DC8" w:rsidRPr="00895EFC" w:rsidRDefault="00987DC8" w:rsidP="00167D1B">
            <w:pPr>
              <w:spacing w:line="360" w:lineRule="auto"/>
              <w:jc w:val="both"/>
              <w:rPr>
                <w:b w:val="0"/>
                <w:bCs w:val="0"/>
              </w:rPr>
            </w:pPr>
            <w:r w:rsidRPr="00895EFC">
              <w:rPr>
                <w:b w:val="0"/>
                <w:bCs w:val="0"/>
              </w:rPr>
              <w:t>Primary Sources</w:t>
            </w:r>
          </w:p>
        </w:tc>
        <w:tc>
          <w:tcPr>
            <w:tcW w:w="4069" w:type="dxa"/>
            <w:tcBorders>
              <w:top w:val="none" w:sz="0" w:space="0" w:color="auto"/>
              <w:bottom w:val="none" w:sz="0" w:space="0" w:color="auto"/>
            </w:tcBorders>
            <w:hideMark/>
          </w:tcPr>
          <w:p w14:paraId="6A0D54BF" w14:textId="77777777" w:rsidR="00987DC8" w:rsidRPr="00895EFC" w:rsidRDefault="00987DC8" w:rsidP="00167D1B">
            <w:pPr>
              <w:spacing w:line="360" w:lineRule="auto"/>
              <w:jc w:val="both"/>
              <w:cnfStyle w:val="000000100000" w:firstRow="0" w:lastRow="0" w:firstColumn="0" w:lastColumn="0" w:oddVBand="0" w:evenVBand="0" w:oddHBand="1" w:evenHBand="0" w:firstRowFirstColumn="0" w:firstRowLastColumn="0" w:lastRowFirstColumn="0" w:lastRowLastColumn="0"/>
            </w:pPr>
            <w:r w:rsidRPr="00895EFC">
              <w:t>NGOs, academics, local activists</w:t>
            </w:r>
          </w:p>
        </w:tc>
        <w:tc>
          <w:tcPr>
            <w:tcW w:w="3337" w:type="dxa"/>
            <w:tcBorders>
              <w:top w:val="none" w:sz="0" w:space="0" w:color="auto"/>
              <w:bottom w:val="none" w:sz="0" w:space="0" w:color="auto"/>
            </w:tcBorders>
            <w:hideMark/>
          </w:tcPr>
          <w:p w14:paraId="1C791415" w14:textId="77777777" w:rsidR="00987DC8" w:rsidRPr="00895EFC" w:rsidRDefault="00987DC8" w:rsidP="00167D1B">
            <w:pPr>
              <w:spacing w:line="360" w:lineRule="auto"/>
              <w:jc w:val="both"/>
              <w:cnfStyle w:val="000000100000" w:firstRow="0" w:lastRow="0" w:firstColumn="0" w:lastColumn="0" w:oddVBand="0" w:evenVBand="0" w:oddHBand="1" w:evenHBand="0" w:firstRowFirstColumn="0" w:firstRowLastColumn="0" w:lastRowFirstColumn="0" w:lastRowLastColumn="0"/>
            </w:pPr>
            <w:r w:rsidRPr="00895EFC">
              <w:t>Government officials, company representatives</w:t>
            </w:r>
          </w:p>
        </w:tc>
      </w:tr>
      <w:tr w:rsidR="00987DC8" w:rsidRPr="00895EFC" w14:paraId="092665D2" w14:textId="77777777" w:rsidTr="00987DC8">
        <w:trPr>
          <w:trHeight w:val="398"/>
        </w:trPr>
        <w:tc>
          <w:tcPr>
            <w:cnfStyle w:val="001000000000" w:firstRow="0" w:lastRow="0" w:firstColumn="1" w:lastColumn="0" w:oddVBand="0" w:evenVBand="0" w:oddHBand="0" w:evenHBand="0" w:firstRowFirstColumn="0" w:firstRowLastColumn="0" w:lastRowFirstColumn="0" w:lastRowLastColumn="0"/>
            <w:tcW w:w="1738" w:type="dxa"/>
            <w:hideMark/>
          </w:tcPr>
          <w:p w14:paraId="75F15A10" w14:textId="77777777" w:rsidR="00987DC8" w:rsidRPr="00895EFC" w:rsidRDefault="00987DC8" w:rsidP="00167D1B">
            <w:pPr>
              <w:spacing w:line="360" w:lineRule="auto"/>
              <w:jc w:val="both"/>
              <w:rPr>
                <w:b w:val="0"/>
                <w:bCs w:val="0"/>
              </w:rPr>
            </w:pPr>
            <w:r w:rsidRPr="00895EFC">
              <w:rPr>
                <w:b w:val="0"/>
                <w:bCs w:val="0"/>
              </w:rPr>
              <w:t>News Angle</w:t>
            </w:r>
          </w:p>
        </w:tc>
        <w:tc>
          <w:tcPr>
            <w:tcW w:w="4069" w:type="dxa"/>
            <w:hideMark/>
          </w:tcPr>
          <w:p w14:paraId="47190BBA" w14:textId="77777777" w:rsidR="00987DC8" w:rsidRPr="00895EFC" w:rsidRDefault="00987DC8" w:rsidP="00167D1B">
            <w:pPr>
              <w:spacing w:line="360" w:lineRule="auto"/>
              <w:jc w:val="both"/>
              <w:cnfStyle w:val="000000000000" w:firstRow="0" w:lastRow="0" w:firstColumn="0" w:lastColumn="0" w:oddVBand="0" w:evenVBand="0" w:oddHBand="0" w:evenHBand="0" w:firstRowFirstColumn="0" w:firstRowLastColumn="0" w:lastRowFirstColumn="0" w:lastRowLastColumn="0"/>
            </w:pPr>
            <w:r w:rsidRPr="00895EFC">
              <w:t>Opposition to mining</w:t>
            </w:r>
          </w:p>
        </w:tc>
        <w:tc>
          <w:tcPr>
            <w:tcW w:w="3337" w:type="dxa"/>
            <w:hideMark/>
          </w:tcPr>
          <w:p w14:paraId="26E3B869" w14:textId="77777777" w:rsidR="00987DC8" w:rsidRPr="00895EFC" w:rsidRDefault="00987DC8" w:rsidP="00167D1B">
            <w:pPr>
              <w:spacing w:line="360" w:lineRule="auto"/>
              <w:jc w:val="both"/>
              <w:cnfStyle w:val="000000000000" w:firstRow="0" w:lastRow="0" w:firstColumn="0" w:lastColumn="0" w:oddVBand="0" w:evenVBand="0" w:oddHBand="0" w:evenHBand="0" w:firstRowFirstColumn="0" w:firstRowLastColumn="0" w:lastRowFirstColumn="0" w:lastRowLastColumn="0"/>
            </w:pPr>
            <w:r w:rsidRPr="00895EFC">
              <w:t>Support for mining</w:t>
            </w:r>
          </w:p>
        </w:tc>
      </w:tr>
      <w:tr w:rsidR="00987DC8" w:rsidRPr="00895EFC" w14:paraId="19F8CA4A" w14:textId="77777777" w:rsidTr="00987DC8">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738" w:type="dxa"/>
            <w:tcBorders>
              <w:top w:val="none" w:sz="0" w:space="0" w:color="auto"/>
              <w:bottom w:val="none" w:sz="0" w:space="0" w:color="auto"/>
            </w:tcBorders>
            <w:hideMark/>
          </w:tcPr>
          <w:p w14:paraId="211CDC51" w14:textId="77777777" w:rsidR="00987DC8" w:rsidRPr="00895EFC" w:rsidRDefault="00987DC8" w:rsidP="00167D1B">
            <w:pPr>
              <w:spacing w:line="360" w:lineRule="auto"/>
              <w:jc w:val="both"/>
              <w:rPr>
                <w:b w:val="0"/>
                <w:bCs w:val="0"/>
              </w:rPr>
            </w:pPr>
            <w:r w:rsidRPr="00895EFC">
              <w:rPr>
                <w:b w:val="0"/>
                <w:bCs w:val="0"/>
              </w:rPr>
              <w:lastRenderedPageBreak/>
              <w:t xml:space="preserve">Impact </w:t>
            </w:r>
            <w:r w:rsidRPr="00895EFC">
              <w:t xml:space="preserve">   </w:t>
            </w:r>
            <w:r w:rsidRPr="00895EFC">
              <w:rPr>
                <w:b w:val="0"/>
                <w:bCs w:val="0"/>
              </w:rPr>
              <w:t>on Audience</w:t>
            </w:r>
          </w:p>
        </w:tc>
        <w:tc>
          <w:tcPr>
            <w:tcW w:w="4069" w:type="dxa"/>
            <w:tcBorders>
              <w:top w:val="none" w:sz="0" w:space="0" w:color="auto"/>
              <w:bottom w:val="none" w:sz="0" w:space="0" w:color="auto"/>
            </w:tcBorders>
            <w:hideMark/>
          </w:tcPr>
          <w:p w14:paraId="6B3CDDA6" w14:textId="77777777" w:rsidR="00987DC8" w:rsidRPr="00895EFC" w:rsidRDefault="00987DC8" w:rsidP="00167D1B">
            <w:pPr>
              <w:spacing w:line="360" w:lineRule="auto"/>
              <w:jc w:val="both"/>
              <w:cnfStyle w:val="000000100000" w:firstRow="0" w:lastRow="0" w:firstColumn="0" w:lastColumn="0" w:oddVBand="0" w:evenVBand="0" w:oddHBand="1" w:evenHBand="0" w:firstRowFirstColumn="0" w:firstRowLastColumn="0" w:lastRowFirstColumn="0" w:lastRowLastColumn="0"/>
            </w:pPr>
            <w:r w:rsidRPr="00895EFC">
              <w:t>Encourages environmental awareness</w:t>
            </w:r>
          </w:p>
        </w:tc>
        <w:tc>
          <w:tcPr>
            <w:tcW w:w="3337" w:type="dxa"/>
            <w:tcBorders>
              <w:top w:val="none" w:sz="0" w:space="0" w:color="auto"/>
              <w:bottom w:val="none" w:sz="0" w:space="0" w:color="auto"/>
            </w:tcBorders>
            <w:hideMark/>
          </w:tcPr>
          <w:p w14:paraId="19101B6C" w14:textId="77777777" w:rsidR="00987DC8" w:rsidRPr="00895EFC" w:rsidRDefault="00987DC8" w:rsidP="00167D1B">
            <w:pPr>
              <w:spacing w:line="360" w:lineRule="auto"/>
              <w:jc w:val="both"/>
              <w:cnfStyle w:val="000000100000" w:firstRow="0" w:lastRow="0" w:firstColumn="0" w:lastColumn="0" w:oddVBand="0" w:evenVBand="0" w:oddHBand="1" w:evenHBand="0" w:firstRowFirstColumn="0" w:firstRowLastColumn="0" w:lastRowFirstColumn="0" w:lastRowLastColumn="0"/>
            </w:pPr>
            <w:r w:rsidRPr="00895EFC">
              <w:t>Promotes government trust</w:t>
            </w:r>
          </w:p>
        </w:tc>
      </w:tr>
    </w:tbl>
    <w:p w14:paraId="7B843900" w14:textId="488325A5" w:rsidR="00895EFC" w:rsidRPr="00895EFC" w:rsidRDefault="00895EFC" w:rsidP="00987DC8">
      <w:pPr>
        <w:spacing w:after="240" w:line="360" w:lineRule="auto"/>
        <w:jc w:val="center"/>
      </w:pPr>
      <w:r w:rsidRPr="00895EFC">
        <w:t>Source: Author Analysis</w:t>
      </w:r>
    </w:p>
    <w:p w14:paraId="1A8BB548" w14:textId="574A1FAF" w:rsidR="00895EFC" w:rsidRPr="00895EFC" w:rsidRDefault="00987DC8" w:rsidP="00895EFC">
      <w:pPr>
        <w:spacing w:line="360" w:lineRule="auto"/>
        <w:jc w:val="both"/>
        <w:rPr>
          <w:b/>
          <w:bCs/>
        </w:rPr>
      </w:pPr>
      <w:r w:rsidRPr="00895EFC">
        <w:rPr>
          <w:b/>
          <w:bCs/>
        </w:rPr>
        <w:t>DISCUSSION</w:t>
      </w:r>
    </w:p>
    <w:p w14:paraId="7CB63D6E" w14:textId="77777777" w:rsidR="00895EFC" w:rsidRPr="00895EFC" w:rsidRDefault="00895EFC" w:rsidP="00895EFC">
      <w:pPr>
        <w:spacing w:line="360" w:lineRule="auto"/>
        <w:ind w:firstLine="720"/>
        <w:jc w:val="both"/>
      </w:pPr>
      <w:r w:rsidRPr="00895EFC">
        <w:t>This study confirms that the political economy of media ownership and editorial policy directly influences the framing of environmental and economic issues. In the case of nickel mining in Raja Ampat, Tempo adopts a watchdog role emphasizing environment. Future research should expand the sample to include social media discourse and regional news outlets to understand how frames circulate beyond national media. Practically, these findings highlight the need for stronger journalistic ethics, greater transparency in media ownership, and increased media literacy among the public to counterbalance one-sided reporting.</w:t>
      </w:r>
    </w:p>
    <w:p w14:paraId="765FA097" w14:textId="77777777" w:rsidR="00895EFC" w:rsidRPr="00895EFC" w:rsidRDefault="00895EFC" w:rsidP="00895EFC">
      <w:pPr>
        <w:spacing w:line="360" w:lineRule="auto"/>
        <w:jc w:val="both"/>
      </w:pPr>
      <w:r w:rsidRPr="00895EFC">
        <w:t>Policymakers, journalists, and civil society organizations should collaborate to ensure that reporting on environmental issues reflects diverse perspectives, protecting public interest and ecological sustainability in Indonesia’s rapidly developing regions.</w:t>
      </w:r>
    </w:p>
    <w:p w14:paraId="4DA0B5F8" w14:textId="77777777" w:rsidR="00895EFC" w:rsidRPr="00895EFC" w:rsidRDefault="00895EFC" w:rsidP="00987DC8">
      <w:pPr>
        <w:spacing w:after="240" w:line="360" w:lineRule="auto"/>
        <w:ind w:firstLine="720"/>
        <w:jc w:val="both"/>
      </w:pPr>
      <w:r w:rsidRPr="00895EFC">
        <w:t xml:space="preserve">The controversy over nickel mining activities in Raja Ampat is framed differently by </w:t>
      </w:r>
      <w:r w:rsidRPr="00895EFC">
        <w:rPr>
          <w:i/>
          <w:iCs/>
        </w:rPr>
        <w:t>Tempo</w:t>
      </w:r>
      <w:r w:rsidRPr="00895EFC">
        <w:t xml:space="preserve"> and </w:t>
      </w:r>
      <w:r w:rsidRPr="00895EFC">
        <w:rPr>
          <w:i/>
          <w:iCs/>
        </w:rPr>
        <w:t>Media Indonesia</w:t>
      </w:r>
      <w:r w:rsidRPr="00895EFC">
        <w:t>, reflecting their *</w:t>
      </w:r>
      <w:r w:rsidRPr="00895EFC">
        <w:rPr>
          <w:i/>
          <w:iCs/>
        </w:rPr>
        <w:t>ownership structures, political affiliations, and editorial policies</w:t>
      </w:r>
      <w:r w:rsidRPr="00895EFC">
        <w:t>. Both outlets construct narratives that shape public understanding but employ distinct framing strategies and sourcing patterns.</w:t>
      </w:r>
    </w:p>
    <w:p w14:paraId="0C12DCB5" w14:textId="44750553" w:rsidR="00895EFC" w:rsidRPr="00987DC8" w:rsidRDefault="00895EFC" w:rsidP="00987DC8">
      <w:pPr>
        <w:pStyle w:val="ListParagraph"/>
        <w:numPr>
          <w:ilvl w:val="0"/>
          <w:numId w:val="15"/>
        </w:numPr>
        <w:spacing w:line="360" w:lineRule="auto"/>
        <w:ind w:left="426"/>
        <w:jc w:val="both"/>
        <w:rPr>
          <w:rFonts w:ascii="Times New Roman" w:hAnsi="Times New Roman" w:cs="Times New Roman"/>
          <w:b/>
          <w:bCs/>
        </w:rPr>
      </w:pPr>
      <w:r w:rsidRPr="00987DC8">
        <w:rPr>
          <w:rFonts w:ascii="Times New Roman" w:hAnsi="Times New Roman" w:cs="Times New Roman"/>
          <w:b/>
          <w:bCs/>
        </w:rPr>
        <w:t>Tempo’s Investigative Approach</w:t>
      </w:r>
    </w:p>
    <w:p w14:paraId="4AA9C4C6" w14:textId="77777777" w:rsidR="00895EFC" w:rsidRPr="00895EFC" w:rsidRDefault="00895EFC" w:rsidP="00987DC8">
      <w:pPr>
        <w:spacing w:after="240" w:line="360" w:lineRule="auto"/>
        <w:ind w:firstLine="720"/>
        <w:jc w:val="both"/>
      </w:pPr>
      <w:r w:rsidRPr="00895EFC">
        <w:rPr>
          <w:i/>
          <w:iCs/>
        </w:rPr>
        <w:t>Tempo</w:t>
      </w:r>
      <w:r w:rsidRPr="00895EFC">
        <w:t xml:space="preserve"> employs an investigative journalism model, characterized by its critical tone and balanced use of multiple sources. In the article “Nickel Mining Permit Controversy in Raja Ampat” </w:t>
      </w:r>
      <w:r w:rsidRPr="00895EFC">
        <w:rPr>
          <w:i/>
          <w:iCs/>
        </w:rPr>
        <w:t>(June 13, 2025 Tempo)</w:t>
      </w:r>
      <w:r w:rsidRPr="00895EFC">
        <w:t xml:space="preserve">, </w:t>
      </w:r>
      <w:r w:rsidRPr="00895EFC">
        <w:rPr>
          <w:i/>
          <w:iCs/>
        </w:rPr>
        <w:t>Tempo</w:t>
      </w:r>
      <w:r w:rsidRPr="00895EFC">
        <w:t>:</w:t>
      </w:r>
    </w:p>
    <w:p w14:paraId="6DEEC288" w14:textId="77777777" w:rsidR="00895EFC" w:rsidRPr="00987DC8" w:rsidRDefault="00895EFC" w:rsidP="00987DC8">
      <w:pPr>
        <w:pStyle w:val="ListParagraph"/>
        <w:numPr>
          <w:ilvl w:val="0"/>
          <w:numId w:val="13"/>
        </w:numPr>
        <w:spacing w:line="360" w:lineRule="auto"/>
        <w:ind w:left="426"/>
        <w:jc w:val="both"/>
        <w:rPr>
          <w:rFonts w:ascii="Times New Roman" w:hAnsi="Times New Roman" w:cs="Times New Roman"/>
        </w:rPr>
      </w:pPr>
      <w:r w:rsidRPr="00987DC8">
        <w:rPr>
          <w:rFonts w:ascii="Times New Roman" w:hAnsi="Times New Roman" w:cs="Times New Roman"/>
        </w:rPr>
        <w:t>Highlights the environmental consequences of nickel mining.</w:t>
      </w:r>
    </w:p>
    <w:p w14:paraId="7BA9DD1B" w14:textId="77777777" w:rsidR="00895EFC" w:rsidRPr="00987DC8" w:rsidRDefault="00895EFC" w:rsidP="00987DC8">
      <w:pPr>
        <w:pStyle w:val="ListParagraph"/>
        <w:numPr>
          <w:ilvl w:val="0"/>
          <w:numId w:val="13"/>
        </w:numPr>
        <w:spacing w:line="360" w:lineRule="auto"/>
        <w:ind w:left="426"/>
        <w:jc w:val="both"/>
        <w:rPr>
          <w:rFonts w:ascii="Times New Roman" w:hAnsi="Times New Roman" w:cs="Times New Roman"/>
        </w:rPr>
      </w:pPr>
      <w:r w:rsidRPr="00987DC8">
        <w:rPr>
          <w:rFonts w:ascii="Times New Roman" w:hAnsi="Times New Roman" w:cs="Times New Roman"/>
        </w:rPr>
        <w:t>Uses statements from NGOs, academics, and environmental experts who express concerns about ecosystem degradation and marine biodiversity loss.</w:t>
      </w:r>
    </w:p>
    <w:p w14:paraId="3E943ED5" w14:textId="77777777" w:rsidR="00895EFC" w:rsidRPr="00987DC8" w:rsidRDefault="00895EFC" w:rsidP="00987DC8">
      <w:pPr>
        <w:pStyle w:val="ListParagraph"/>
        <w:numPr>
          <w:ilvl w:val="0"/>
          <w:numId w:val="13"/>
        </w:numPr>
        <w:spacing w:line="360" w:lineRule="auto"/>
        <w:ind w:left="426"/>
        <w:jc w:val="both"/>
        <w:rPr>
          <w:rFonts w:ascii="Times New Roman" w:hAnsi="Times New Roman" w:cs="Times New Roman"/>
        </w:rPr>
      </w:pPr>
      <w:r w:rsidRPr="00987DC8">
        <w:rPr>
          <w:rFonts w:ascii="Times New Roman" w:hAnsi="Times New Roman" w:cs="Times New Roman"/>
        </w:rPr>
        <w:t>Discusses local community resistance, focusing on fears of livelihood disruption and tourism decline.</w:t>
      </w:r>
    </w:p>
    <w:p w14:paraId="583B4C1E" w14:textId="77777777" w:rsidR="00895EFC" w:rsidRPr="00895EFC" w:rsidRDefault="00895EFC" w:rsidP="00987DC8">
      <w:pPr>
        <w:pStyle w:val="ListParagraph"/>
        <w:numPr>
          <w:ilvl w:val="0"/>
          <w:numId w:val="13"/>
        </w:numPr>
        <w:spacing w:line="360" w:lineRule="auto"/>
        <w:ind w:left="426"/>
        <w:jc w:val="both"/>
      </w:pPr>
      <w:r w:rsidRPr="00987DC8">
        <w:rPr>
          <w:rFonts w:ascii="Times New Roman" w:hAnsi="Times New Roman" w:cs="Times New Roman"/>
        </w:rPr>
        <w:lastRenderedPageBreak/>
        <w:t>Challenges government claims of sustainability by presenting scientific evidence and alternative perspectives</w:t>
      </w:r>
      <w:r w:rsidRPr="00895EFC">
        <w:t>.</w:t>
      </w:r>
    </w:p>
    <w:p w14:paraId="75E3F376" w14:textId="77777777" w:rsidR="00895EFC" w:rsidRPr="00895EFC" w:rsidRDefault="00895EFC" w:rsidP="00987DC8">
      <w:pPr>
        <w:spacing w:after="240" w:line="360" w:lineRule="auto"/>
        <w:ind w:firstLine="720"/>
        <w:jc w:val="both"/>
      </w:pPr>
      <w:r w:rsidRPr="00895EFC">
        <w:t xml:space="preserve">Although </w:t>
      </w:r>
      <w:r w:rsidRPr="00895EFC">
        <w:rPr>
          <w:i/>
          <w:iCs/>
        </w:rPr>
        <w:t>Tempo</w:t>
      </w:r>
      <w:r w:rsidRPr="00895EFC">
        <w:t xml:space="preserve"> attempts to cover both sides, its framing tends to prioritize environmental concerns over government narratives, positioning itself as a watchdog of public interest.</w:t>
      </w:r>
    </w:p>
    <w:p w14:paraId="28D53634" w14:textId="54ECD6FF" w:rsidR="00895EFC" w:rsidRPr="00987DC8" w:rsidRDefault="00895EFC" w:rsidP="00987DC8">
      <w:pPr>
        <w:pStyle w:val="ListParagraph"/>
        <w:numPr>
          <w:ilvl w:val="0"/>
          <w:numId w:val="15"/>
        </w:numPr>
        <w:spacing w:line="360" w:lineRule="auto"/>
        <w:ind w:left="426"/>
        <w:jc w:val="both"/>
        <w:rPr>
          <w:rFonts w:ascii="Times New Roman" w:hAnsi="Times New Roman" w:cs="Times New Roman"/>
          <w:b/>
          <w:bCs/>
        </w:rPr>
      </w:pPr>
      <w:r w:rsidRPr="00987DC8">
        <w:rPr>
          <w:rFonts w:ascii="Times New Roman" w:hAnsi="Times New Roman" w:cs="Times New Roman"/>
          <w:b/>
          <w:bCs/>
        </w:rPr>
        <w:t>Media Indonesia’s Pro-Government Narrative</w:t>
      </w:r>
    </w:p>
    <w:p w14:paraId="168D37B8" w14:textId="77777777" w:rsidR="00895EFC" w:rsidRPr="00895EFC" w:rsidRDefault="00895EFC" w:rsidP="00987DC8">
      <w:pPr>
        <w:spacing w:line="360" w:lineRule="auto"/>
        <w:ind w:firstLine="720"/>
        <w:jc w:val="both"/>
      </w:pPr>
      <w:r w:rsidRPr="00987DC8">
        <w:t>Media</w:t>
      </w:r>
      <w:r w:rsidRPr="00895EFC">
        <w:rPr>
          <w:i/>
          <w:iCs/>
        </w:rPr>
        <w:t xml:space="preserve"> Indonesia</w:t>
      </w:r>
      <w:r w:rsidRPr="00895EFC">
        <w:t xml:space="preserve">, owned by Surya </w:t>
      </w:r>
      <w:proofErr w:type="spellStart"/>
      <w:r w:rsidRPr="00895EFC">
        <w:t>Paloh</w:t>
      </w:r>
      <w:proofErr w:type="spellEnd"/>
      <w:r w:rsidRPr="00895EFC">
        <w:t xml:space="preserve"> and affiliated with the Media Group Network, adopts a pro-government framing. In its article “Five Mining Companies Operating in Raja Ampat” </w:t>
      </w:r>
      <w:r w:rsidRPr="00895EFC">
        <w:rPr>
          <w:i/>
          <w:iCs/>
        </w:rPr>
        <w:t>(June 8, 2025 Media Indonesia)</w:t>
      </w:r>
      <w:r w:rsidRPr="00895EFC">
        <w:t>, the outlet:</w:t>
      </w:r>
    </w:p>
    <w:p w14:paraId="429F449E"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Emphasizes government assurances regarding environmental safety and legal compliance.</w:t>
      </w:r>
    </w:p>
    <w:p w14:paraId="731832C5"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Features statements from the Ministry of Energy and Mineral Resources (ESDM), Raja Ampat local officials, and company representatives such as PT Gag Nickel.</w:t>
      </w:r>
    </w:p>
    <w:p w14:paraId="37EB57A3" w14:textId="77777777" w:rsid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Promotes the narrative that nickel mining activities bring economic benefits, including job creation, infrastructure development, and increased regional income.</w:t>
      </w:r>
    </w:p>
    <w:p w14:paraId="4E055B33" w14:textId="73379F68"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Minimizes or excludes voices critical of nickel mining, resulting in one-sided reporting.</w:t>
      </w:r>
    </w:p>
    <w:p w14:paraId="085CD88E" w14:textId="3445DF79" w:rsidR="00895EFC" w:rsidRPr="00895EFC" w:rsidRDefault="00895EFC" w:rsidP="00987DC8">
      <w:pPr>
        <w:spacing w:after="240" w:line="360" w:lineRule="auto"/>
        <w:ind w:firstLine="720"/>
        <w:jc w:val="both"/>
      </w:pPr>
      <w:r w:rsidRPr="00895EFC">
        <w:t>This framing reflects Media Indonesia’s alignment with government policy and suggests that ownership structure and political affiliations strongly influence editorial decisions.</w:t>
      </w:r>
    </w:p>
    <w:p w14:paraId="6CEC638D" w14:textId="42B82824" w:rsidR="00895EFC" w:rsidRPr="00987DC8" w:rsidRDefault="00895EFC" w:rsidP="00987DC8">
      <w:pPr>
        <w:pStyle w:val="ListParagraph"/>
        <w:numPr>
          <w:ilvl w:val="0"/>
          <w:numId w:val="15"/>
        </w:numPr>
        <w:spacing w:line="360" w:lineRule="auto"/>
        <w:ind w:left="426"/>
        <w:jc w:val="both"/>
        <w:rPr>
          <w:rFonts w:ascii="Times New Roman" w:hAnsi="Times New Roman" w:cs="Times New Roman"/>
          <w:b/>
          <w:bCs/>
        </w:rPr>
      </w:pPr>
      <w:r w:rsidRPr="00987DC8">
        <w:rPr>
          <w:rFonts w:ascii="Times New Roman" w:hAnsi="Times New Roman" w:cs="Times New Roman"/>
          <w:b/>
          <w:bCs/>
        </w:rPr>
        <w:t>The Influence of Media Political Economy</w:t>
      </w:r>
    </w:p>
    <w:p w14:paraId="43B3F941" w14:textId="77777777" w:rsidR="00895EFC" w:rsidRPr="00895EFC" w:rsidRDefault="00895EFC" w:rsidP="00895EFC">
      <w:pPr>
        <w:spacing w:line="360" w:lineRule="auto"/>
        <w:ind w:firstLine="720"/>
        <w:jc w:val="both"/>
      </w:pPr>
      <w:r w:rsidRPr="00895EFC">
        <w:t xml:space="preserve">The framing differences between </w:t>
      </w:r>
      <w:r w:rsidRPr="00895EFC">
        <w:rPr>
          <w:i/>
          <w:iCs/>
        </w:rPr>
        <w:t>Tempo</w:t>
      </w:r>
      <w:r w:rsidRPr="00895EFC">
        <w:t xml:space="preserve"> and </w:t>
      </w:r>
      <w:r w:rsidRPr="00895EFC">
        <w:rPr>
          <w:i/>
          <w:iCs/>
        </w:rPr>
        <w:t>Media Indonesia</w:t>
      </w:r>
      <w:r w:rsidRPr="00895EFC">
        <w:t xml:space="preserve"> can be understood through the lens of media political economy theory </w:t>
      </w:r>
      <w:r w:rsidRPr="00895EFC">
        <w:rPr>
          <w:i/>
          <w:iCs/>
        </w:rPr>
        <w:t>(</w:t>
      </w:r>
      <w:proofErr w:type="spellStart"/>
      <w:r w:rsidRPr="00895EFC">
        <w:rPr>
          <w:i/>
          <w:iCs/>
        </w:rPr>
        <w:t>McQuail</w:t>
      </w:r>
      <w:proofErr w:type="spellEnd"/>
      <w:r w:rsidRPr="00895EFC">
        <w:rPr>
          <w:i/>
          <w:iCs/>
        </w:rPr>
        <w:t>, 2010; Mosco, 1996:105)</w:t>
      </w:r>
      <w:r w:rsidRPr="00895EFC">
        <w:t>, which explains how media ownership, political interests, and economic structures shape news content.</w:t>
      </w:r>
    </w:p>
    <w:p w14:paraId="6A6E1524" w14:textId="77777777" w:rsidR="00895EFC" w:rsidRPr="00895EFC" w:rsidRDefault="00895EFC" w:rsidP="00895EFC">
      <w:pPr>
        <w:spacing w:line="360" w:lineRule="auto"/>
        <w:jc w:val="both"/>
      </w:pPr>
      <w:r w:rsidRPr="00895EFC">
        <w:t xml:space="preserve">According to Westley and MacLean’s communication model </w:t>
      </w:r>
      <w:r w:rsidRPr="00895EFC">
        <w:rPr>
          <w:i/>
          <w:iCs/>
        </w:rPr>
        <w:t>(1957)</w:t>
      </w:r>
      <w:r w:rsidRPr="00895EFC">
        <w:t>, media institutions operate within a network of formal and informal controls, including:</w:t>
      </w:r>
    </w:p>
    <w:p w14:paraId="1C2E00D0"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Institutional ownership interests: Media owners influence editorial policies.</w:t>
      </w:r>
    </w:p>
    <w:p w14:paraId="2BE1F345"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Political affiliations: Alignment with or opposition to government agendas affects news framing.</w:t>
      </w:r>
    </w:p>
    <w:p w14:paraId="163E7164"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Economic dependencies: Advertising, investments, and business relations impact content neutrality.</w:t>
      </w:r>
    </w:p>
    <w:p w14:paraId="7490BC34"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Media logic: Each outlet develops its own framework for selecting, constructing, and presenting “reality.”</w:t>
      </w:r>
    </w:p>
    <w:p w14:paraId="6F90FD8A" w14:textId="77777777" w:rsidR="00895EFC" w:rsidRPr="00895EFC" w:rsidRDefault="00895EFC" w:rsidP="00895EFC">
      <w:pPr>
        <w:spacing w:line="360" w:lineRule="auto"/>
        <w:jc w:val="both"/>
      </w:pPr>
      <w:r w:rsidRPr="00895EFC">
        <w:lastRenderedPageBreak/>
        <w:t>In this case:</w:t>
      </w:r>
    </w:p>
    <w:p w14:paraId="285B91A4"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Tempo operates with greater editorial independence, maintaining its tradition of investigative journalism and critical reporting, despite potential political pressures.</w:t>
      </w:r>
    </w:p>
    <w:p w14:paraId="5BEF19D1" w14:textId="77777777" w:rsidR="00895EFC" w:rsidRPr="00895EFC" w:rsidRDefault="00895EFC" w:rsidP="00987DC8">
      <w:pPr>
        <w:pStyle w:val="ListParagraph"/>
        <w:numPr>
          <w:ilvl w:val="0"/>
          <w:numId w:val="14"/>
        </w:numPr>
        <w:tabs>
          <w:tab w:val="clear" w:pos="720"/>
        </w:tabs>
        <w:spacing w:line="360" w:lineRule="auto"/>
        <w:ind w:left="426"/>
        <w:jc w:val="both"/>
      </w:pPr>
      <w:r w:rsidRPr="00987DC8">
        <w:rPr>
          <w:rFonts w:ascii="Times New Roman" w:hAnsi="Times New Roman" w:cs="Times New Roman"/>
        </w:rPr>
        <w:t>Media Indonesia, as part of a politically affiliated conglomerate, demonstrates a tendency to align</w:t>
      </w:r>
      <w:r w:rsidRPr="00895EFC">
        <w:t xml:space="preserve"> its reporting with government policies and economic development narratives.</w:t>
      </w:r>
    </w:p>
    <w:p w14:paraId="7EBE4D93" w14:textId="77777777" w:rsidR="00895EFC" w:rsidRPr="00895EFC" w:rsidRDefault="00895EFC" w:rsidP="00895EFC">
      <w:pPr>
        <w:spacing w:line="360" w:lineRule="auto"/>
        <w:jc w:val="both"/>
      </w:pPr>
    </w:p>
    <w:p w14:paraId="65B2FAC2" w14:textId="3C0044FA" w:rsidR="00895EFC" w:rsidRPr="00987DC8" w:rsidRDefault="00895EFC" w:rsidP="00987DC8">
      <w:pPr>
        <w:pStyle w:val="ListParagraph"/>
        <w:numPr>
          <w:ilvl w:val="0"/>
          <w:numId w:val="15"/>
        </w:numPr>
        <w:spacing w:line="360" w:lineRule="auto"/>
        <w:ind w:left="426"/>
        <w:jc w:val="both"/>
        <w:rPr>
          <w:rFonts w:ascii="Times New Roman" w:hAnsi="Times New Roman" w:cs="Times New Roman"/>
          <w:b/>
          <w:bCs/>
        </w:rPr>
      </w:pPr>
      <w:r w:rsidRPr="00987DC8">
        <w:rPr>
          <w:rFonts w:ascii="Times New Roman" w:hAnsi="Times New Roman" w:cs="Times New Roman"/>
          <w:b/>
          <w:bCs/>
        </w:rPr>
        <w:t>Public Impact and Media Credibility</w:t>
      </w:r>
    </w:p>
    <w:p w14:paraId="1E4AD625" w14:textId="77777777" w:rsidR="00895EFC" w:rsidRPr="00895EFC" w:rsidRDefault="00895EFC" w:rsidP="00895EFC">
      <w:pPr>
        <w:spacing w:line="360" w:lineRule="auto"/>
        <w:jc w:val="both"/>
      </w:pPr>
      <w:r w:rsidRPr="00895EFC">
        <w:t>The divergent framing strategies influence public perception and trust:</w:t>
      </w:r>
    </w:p>
    <w:p w14:paraId="380611F9"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Tempo appeals to readers who value environmental conservation and independent journalism, strengthening its reputation as a critical watchdog.</w:t>
      </w:r>
    </w:p>
    <w:p w14:paraId="5BEC50B3" w14:textId="77777777" w:rsidR="00895EFC" w:rsidRPr="00895EFC" w:rsidRDefault="00895EFC" w:rsidP="00987DC8">
      <w:pPr>
        <w:pStyle w:val="ListParagraph"/>
        <w:numPr>
          <w:ilvl w:val="0"/>
          <w:numId w:val="14"/>
        </w:numPr>
        <w:tabs>
          <w:tab w:val="clear" w:pos="720"/>
        </w:tabs>
        <w:spacing w:line="360" w:lineRule="auto"/>
        <w:ind w:left="426"/>
        <w:jc w:val="both"/>
      </w:pPr>
      <w:r w:rsidRPr="00987DC8">
        <w:rPr>
          <w:rFonts w:ascii="Times New Roman" w:hAnsi="Times New Roman" w:cs="Times New Roman"/>
        </w:rPr>
        <w:t>Media Indonesia reinforces government credibility, shaping public opinion to support state policies</w:t>
      </w:r>
      <w:r w:rsidRPr="00895EFC">
        <w:t xml:space="preserve"> and mining operations.</w:t>
      </w:r>
    </w:p>
    <w:p w14:paraId="13E0DBAA" w14:textId="77777777" w:rsidR="00895EFC" w:rsidRPr="00895EFC" w:rsidRDefault="00895EFC" w:rsidP="00987DC8">
      <w:pPr>
        <w:spacing w:line="360" w:lineRule="auto"/>
        <w:ind w:firstLine="720"/>
        <w:jc w:val="both"/>
      </w:pPr>
      <w:r w:rsidRPr="00895EFC">
        <w:t>This finding underscores how media political economy directly affects information accessibility, public discourse, and the formation of social attitudes.</w:t>
      </w:r>
    </w:p>
    <w:p w14:paraId="3457CD2B" w14:textId="77777777" w:rsidR="00895EFC" w:rsidRPr="00895EFC" w:rsidRDefault="00895EFC" w:rsidP="00895EFC">
      <w:pPr>
        <w:spacing w:line="360" w:lineRule="auto"/>
        <w:jc w:val="both"/>
      </w:pPr>
    </w:p>
    <w:p w14:paraId="2766BE3E" w14:textId="5DCB093A" w:rsidR="00895EFC" w:rsidRPr="00895EFC" w:rsidRDefault="00987DC8" w:rsidP="00895EFC">
      <w:pPr>
        <w:spacing w:line="360" w:lineRule="auto"/>
        <w:jc w:val="both"/>
        <w:rPr>
          <w:b/>
          <w:bCs/>
        </w:rPr>
      </w:pPr>
      <w:r w:rsidRPr="00895EFC">
        <w:rPr>
          <w:b/>
          <w:bCs/>
        </w:rPr>
        <w:t>CONCLUSION</w:t>
      </w:r>
    </w:p>
    <w:p w14:paraId="2B9D1F46" w14:textId="77777777" w:rsidR="00895EFC" w:rsidRPr="00895EFC" w:rsidRDefault="00895EFC" w:rsidP="00895EFC">
      <w:pPr>
        <w:spacing w:line="360" w:lineRule="auto"/>
        <w:ind w:firstLine="720"/>
        <w:jc w:val="both"/>
      </w:pPr>
      <w:r w:rsidRPr="00895EFC">
        <w:t xml:space="preserve">The findings of this study demonstrate that the political economy of the media has become an influential factor in shaping reporting styles and public perceptions in Indonesia’s post-reform media landscape. The results reveal a significant correlation between media systems, political structures, and economic interests. The study shows that media content is closely related to the ownership structure and political affiliations of media institutions. In the case of the nickel mining controversy in Raja Ampat, the differences in framing between </w:t>
      </w:r>
      <w:r w:rsidRPr="00895EFC">
        <w:rPr>
          <w:i/>
          <w:iCs/>
        </w:rPr>
        <w:t>Tempo</w:t>
      </w:r>
      <w:r w:rsidRPr="00895EFC">
        <w:t xml:space="preserve"> and </w:t>
      </w:r>
      <w:r w:rsidRPr="00895EFC">
        <w:rPr>
          <w:i/>
          <w:iCs/>
        </w:rPr>
        <w:t>Media Indonesia</w:t>
      </w:r>
      <w:r w:rsidRPr="00895EFC">
        <w:t xml:space="preserve"> illustrate how these factors influence news coverage:</w:t>
      </w:r>
    </w:p>
    <w:p w14:paraId="45C59699" w14:textId="77777777" w:rsidR="00895EFC" w:rsidRPr="00987DC8" w:rsidRDefault="00895EFC" w:rsidP="00987DC8">
      <w:pPr>
        <w:pStyle w:val="ListParagraph"/>
        <w:numPr>
          <w:ilvl w:val="0"/>
          <w:numId w:val="14"/>
        </w:numPr>
        <w:tabs>
          <w:tab w:val="clear" w:pos="720"/>
        </w:tabs>
        <w:spacing w:line="360" w:lineRule="auto"/>
        <w:ind w:left="426"/>
        <w:jc w:val="both"/>
        <w:rPr>
          <w:rFonts w:ascii="Times New Roman" w:hAnsi="Times New Roman" w:cs="Times New Roman"/>
        </w:rPr>
      </w:pPr>
      <w:r w:rsidRPr="00987DC8">
        <w:rPr>
          <w:rFonts w:ascii="Times New Roman" w:hAnsi="Times New Roman" w:cs="Times New Roman"/>
        </w:rPr>
        <w:t xml:space="preserve">Tempo, founded by </w:t>
      </w:r>
      <w:proofErr w:type="spellStart"/>
      <w:r w:rsidRPr="00987DC8">
        <w:rPr>
          <w:rFonts w:ascii="Times New Roman" w:hAnsi="Times New Roman" w:cs="Times New Roman"/>
        </w:rPr>
        <w:t>Goenawan</w:t>
      </w:r>
      <w:proofErr w:type="spellEnd"/>
      <w:r w:rsidRPr="00987DC8">
        <w:rPr>
          <w:rFonts w:ascii="Times New Roman" w:hAnsi="Times New Roman" w:cs="Times New Roman"/>
        </w:rPr>
        <w:t xml:space="preserve"> Mohamad and known for its investigative journalism style, frames the nickel mining issue with a negative sentiment, emphasizing environmental preservation and social impacts.</w:t>
      </w:r>
    </w:p>
    <w:p w14:paraId="482F4113" w14:textId="77777777" w:rsidR="00895EFC" w:rsidRPr="00895EFC" w:rsidRDefault="00895EFC" w:rsidP="00987DC8">
      <w:pPr>
        <w:pStyle w:val="ListParagraph"/>
        <w:numPr>
          <w:ilvl w:val="0"/>
          <w:numId w:val="14"/>
        </w:numPr>
        <w:tabs>
          <w:tab w:val="clear" w:pos="720"/>
        </w:tabs>
        <w:spacing w:line="360" w:lineRule="auto"/>
        <w:ind w:left="426"/>
        <w:jc w:val="both"/>
      </w:pPr>
      <w:r w:rsidRPr="00987DC8">
        <w:rPr>
          <w:rFonts w:ascii="Times New Roman" w:hAnsi="Times New Roman" w:cs="Times New Roman"/>
        </w:rPr>
        <w:t xml:space="preserve">Media Indonesia, owned by Surya </w:t>
      </w:r>
      <w:proofErr w:type="spellStart"/>
      <w:r w:rsidRPr="00987DC8">
        <w:rPr>
          <w:rFonts w:ascii="Times New Roman" w:hAnsi="Times New Roman" w:cs="Times New Roman"/>
        </w:rPr>
        <w:t>Paloh</w:t>
      </w:r>
      <w:proofErr w:type="spellEnd"/>
      <w:r w:rsidRPr="00987DC8">
        <w:rPr>
          <w:rFonts w:ascii="Times New Roman" w:hAnsi="Times New Roman" w:cs="Times New Roman"/>
        </w:rPr>
        <w:t xml:space="preserve"> and aligned with government policies, frames the same issue</w:t>
      </w:r>
      <w:r w:rsidRPr="00895EFC">
        <w:t xml:space="preserve"> with a positive sentiment, focusing on economic growth, policy support, and developmental benefits.</w:t>
      </w:r>
    </w:p>
    <w:p w14:paraId="57E05968" w14:textId="77777777" w:rsidR="00895EFC" w:rsidRPr="00895EFC" w:rsidRDefault="00895EFC" w:rsidP="00895EFC">
      <w:pPr>
        <w:spacing w:line="360" w:lineRule="auto"/>
        <w:ind w:firstLine="720"/>
        <w:jc w:val="both"/>
      </w:pPr>
      <w:r w:rsidRPr="00895EFC">
        <w:t xml:space="preserve">These findings support Westley and MacLean’s media and society formation theory </w:t>
      </w:r>
      <w:r w:rsidRPr="00895EFC">
        <w:rPr>
          <w:i/>
          <w:iCs/>
        </w:rPr>
        <w:t xml:space="preserve">(1957 in </w:t>
      </w:r>
      <w:proofErr w:type="spellStart"/>
      <w:r w:rsidRPr="00895EFC">
        <w:rPr>
          <w:i/>
          <w:iCs/>
        </w:rPr>
        <w:t>McQuail</w:t>
      </w:r>
      <w:proofErr w:type="spellEnd"/>
      <w:r w:rsidRPr="00895EFC">
        <w:rPr>
          <w:i/>
          <w:iCs/>
        </w:rPr>
        <w:t>, 2010, 53)</w:t>
      </w:r>
      <w:r w:rsidRPr="00895EFC">
        <w:t xml:space="preserve">, which highlights several determinants of media coverage, including institutional control, organizational motives, and media logic. The study confirms </w:t>
      </w:r>
      <w:r w:rsidRPr="00895EFC">
        <w:lastRenderedPageBreak/>
        <w:t>that media ownership and political economy structures directly shape editorial perspectives and influence how information is framed and delivered to the public. Therefore, understanding the dynamics of media political economy is essential for critically evaluating media content, promoting balanced reporting, and fostering media literacy among the public. Such awareness helps society better interpret how media narratives are constructed and encourages greater accountability in journalism practice</w:t>
      </w:r>
    </w:p>
    <w:p w14:paraId="0852008F" w14:textId="77777777" w:rsidR="002712A1" w:rsidRPr="00895EFC" w:rsidRDefault="002712A1" w:rsidP="002712A1">
      <w:pPr>
        <w:widowControl w:val="0"/>
        <w:autoSpaceDE w:val="0"/>
        <w:autoSpaceDN w:val="0"/>
        <w:adjustRightInd w:val="0"/>
        <w:spacing w:line="360" w:lineRule="auto"/>
        <w:jc w:val="both"/>
        <w:rPr>
          <w:color w:val="000000"/>
        </w:rPr>
      </w:pPr>
    </w:p>
    <w:sdt>
      <w:sdtPr>
        <w:rPr>
          <w:rFonts w:ascii="Times New Roman" w:eastAsia="Times New Roman" w:hAnsi="Times New Roman" w:cs="Times New Roman"/>
          <w:b/>
          <w:bCs/>
          <w:color w:val="auto"/>
          <w:sz w:val="24"/>
          <w:szCs w:val="24"/>
          <w:lang w:val="de-DE"/>
        </w:rPr>
        <w:id w:val="-214279563"/>
        <w:docPartObj>
          <w:docPartGallery w:val="Bibliographies"/>
          <w:docPartUnique/>
        </w:docPartObj>
      </w:sdtPr>
      <w:sdtEndPr>
        <w:rPr>
          <w:rFonts w:eastAsiaTheme="minorHAnsi"/>
          <w:b w:val="0"/>
          <w:bCs w:val="0"/>
          <w:lang w:val="en-US"/>
        </w:rPr>
      </w:sdtEndPr>
      <w:sdtContent>
        <w:p w14:paraId="4A6C2F7E" w14:textId="0A54505A" w:rsidR="005624F3" w:rsidRPr="00895EFC" w:rsidRDefault="00987DC8" w:rsidP="00987DC8">
          <w:pPr>
            <w:pStyle w:val="Heading2"/>
            <w:spacing w:after="240"/>
            <w:rPr>
              <w:rFonts w:ascii="Times New Roman" w:eastAsia="Times New Roman" w:hAnsi="Times New Roman" w:cs="Times New Roman"/>
              <w:b/>
              <w:bCs/>
              <w:color w:val="auto"/>
              <w:sz w:val="24"/>
              <w:szCs w:val="24"/>
              <w:lang w:val="de-DE"/>
            </w:rPr>
          </w:pPr>
          <w:r>
            <w:rPr>
              <w:rFonts w:ascii="Times New Roman" w:eastAsia="Times New Roman" w:hAnsi="Times New Roman" w:cs="Times New Roman"/>
              <w:b/>
              <w:bCs/>
              <w:color w:val="auto"/>
              <w:sz w:val="24"/>
              <w:szCs w:val="24"/>
              <w:lang w:val="de-DE"/>
            </w:rPr>
            <w:t>REFERENCES</w:t>
          </w:r>
        </w:p>
        <w:sdt>
          <w:sdtPr>
            <w:id w:val="111145805"/>
            <w:bibliography/>
          </w:sdtPr>
          <w:sdtEndPr/>
          <w:sdtContent>
            <w:p w14:paraId="2794AEDC" w14:textId="09F9322C" w:rsidR="005624F3" w:rsidRPr="00895EFC" w:rsidRDefault="005624F3" w:rsidP="00513D75">
              <w:pPr>
                <w:pStyle w:val="Bibliography"/>
                <w:ind w:left="720" w:hanging="720"/>
                <w:jc w:val="both"/>
              </w:pPr>
              <w:r w:rsidRPr="00895EFC">
                <w:fldChar w:fldCharType="begin"/>
              </w:r>
              <w:r w:rsidRPr="00895EFC">
                <w:instrText xml:space="preserve"> BIBLIOGRAPHY </w:instrText>
              </w:r>
              <w:r w:rsidRPr="00895EFC">
                <w:fldChar w:fldCharType="separate"/>
              </w:r>
              <w:r w:rsidRPr="00895EFC">
                <w:rPr>
                  <w:noProof/>
                </w:rPr>
                <w:t xml:space="preserve">Aisiyah, C., A’vun, Q., Royani, S., &amp; Haq, W. (2024). Pengaruh Pandawara Grup Di Sosial Media Terhadap Literasi Kebersihan Lingkungan Pada Kalangan Mahasiswa Di Universitas Pendidikan Indonesia. </w:t>
              </w:r>
              <w:r w:rsidRPr="00895EFC">
                <w:rPr>
                  <w:i/>
                  <w:iCs/>
                  <w:noProof/>
                </w:rPr>
                <w:t>Jurnal Pengabdian Kepada Masyarakat mandiri (JPMM), 2</w:t>
              </w:r>
              <w:r w:rsidRPr="00895EFC">
                <w:rPr>
                  <w:noProof/>
                </w:rPr>
                <w:t>(2), 87-97.</w:t>
              </w:r>
            </w:p>
            <w:p w14:paraId="188FD121" w14:textId="6FD42EDB" w:rsidR="005624F3" w:rsidRPr="00895EFC" w:rsidRDefault="005624F3" w:rsidP="00E55D21">
              <w:pPr>
                <w:pStyle w:val="Bibliography"/>
                <w:ind w:left="720" w:hanging="720"/>
                <w:jc w:val="both"/>
                <w:rPr>
                  <w:noProof/>
                </w:rPr>
              </w:pPr>
              <w:r w:rsidRPr="00895EFC">
                <w:rPr>
                  <w:noProof/>
                </w:rPr>
                <w:t xml:space="preserve">Ardian, H. (2019). Kajian Teori Komunikasi Lingkungan Dalam Penelitian Pengelolaan Sumber Daya Alam. </w:t>
              </w:r>
              <w:r w:rsidRPr="00895EFC">
                <w:rPr>
                  <w:i/>
                  <w:iCs/>
                  <w:noProof/>
                </w:rPr>
                <w:t>Perspektif Komunikasi</w:t>
              </w:r>
              <w:r w:rsidRPr="00895EFC">
                <w:rPr>
                  <w:noProof/>
                </w:rPr>
                <w:t>, 1-20.</w:t>
              </w:r>
            </w:p>
            <w:p w14:paraId="4A12216B" w14:textId="7D2478CF" w:rsidR="005624F3" w:rsidRPr="00895EFC" w:rsidRDefault="005624F3" w:rsidP="00E55D21">
              <w:pPr>
                <w:pStyle w:val="Bibliography"/>
                <w:ind w:left="720" w:hanging="720"/>
                <w:jc w:val="both"/>
                <w:rPr>
                  <w:noProof/>
                  <w:lang w:val="de-DE"/>
                </w:rPr>
              </w:pPr>
              <w:r w:rsidRPr="00895EFC">
                <w:rPr>
                  <w:noProof/>
                </w:rPr>
                <w:t xml:space="preserve">Creswell, J. (1998). </w:t>
              </w:r>
              <w:r w:rsidRPr="00895EFC">
                <w:rPr>
                  <w:i/>
                  <w:iCs/>
                  <w:noProof/>
                </w:rPr>
                <w:t>Qualitative Inquiry and Research Design: Choosing among Five Tradition.</w:t>
              </w:r>
              <w:r w:rsidRPr="00895EFC">
                <w:rPr>
                  <w:noProof/>
                </w:rPr>
                <w:t xml:space="preserve"> </w:t>
              </w:r>
              <w:r w:rsidRPr="00895EFC">
                <w:rPr>
                  <w:noProof/>
                  <w:lang w:val="de-DE"/>
                </w:rPr>
                <w:t>London: Sage Publications.</w:t>
              </w:r>
            </w:p>
            <w:p w14:paraId="3CE60290" w14:textId="77777777" w:rsidR="005624F3" w:rsidRPr="00895EFC" w:rsidRDefault="005624F3" w:rsidP="00E55D21">
              <w:pPr>
                <w:pStyle w:val="Bibliography"/>
                <w:ind w:left="720" w:hanging="720"/>
                <w:jc w:val="both"/>
                <w:rPr>
                  <w:noProof/>
                  <w:lang w:val="de-DE"/>
                </w:rPr>
              </w:pPr>
              <w:r w:rsidRPr="00895EFC">
                <w:rPr>
                  <w:noProof/>
                  <w:lang w:val="de-DE"/>
                </w:rPr>
                <w:t xml:space="preserve">Krisyantono, R. (2012). </w:t>
              </w:r>
              <w:r w:rsidRPr="00895EFC">
                <w:rPr>
                  <w:i/>
                  <w:iCs/>
                  <w:noProof/>
                  <w:lang w:val="de-DE"/>
                </w:rPr>
                <w:t>Teknik Praktis: Riset Komunikasi.</w:t>
              </w:r>
              <w:r w:rsidRPr="00895EFC">
                <w:rPr>
                  <w:noProof/>
                  <w:lang w:val="de-DE"/>
                </w:rPr>
                <w:t xml:space="preserve"> Jakarta: Kencana.</w:t>
              </w:r>
            </w:p>
            <w:p w14:paraId="484D4E1D" w14:textId="61785B6B" w:rsidR="005624F3" w:rsidRPr="00895EFC" w:rsidRDefault="005624F3" w:rsidP="00E55D21">
              <w:pPr>
                <w:pStyle w:val="Bibliography"/>
                <w:ind w:left="720" w:hanging="720"/>
                <w:jc w:val="both"/>
                <w:rPr>
                  <w:noProof/>
                </w:rPr>
              </w:pPr>
              <w:r w:rsidRPr="00895EFC">
                <w:rPr>
                  <w:noProof/>
                </w:rPr>
                <w:t xml:space="preserve">Listiyani, Q., Khasanah, W., &amp; Purwanti, P. (2023). Kajian Permasalahan Pengelolaan Sampah di TPST Bantargebang Kota Bekasi (Studi Kasus PLTSa Merah Putih). </w:t>
              </w:r>
              <w:r w:rsidRPr="00895EFC">
                <w:rPr>
                  <w:i/>
                  <w:iCs/>
                  <w:noProof/>
                </w:rPr>
                <w:t>Sinasis, 4</w:t>
              </w:r>
              <w:r w:rsidRPr="00895EFC">
                <w:rPr>
                  <w:noProof/>
                </w:rPr>
                <w:t>(1), 75-82.</w:t>
              </w:r>
            </w:p>
            <w:p w14:paraId="3E56E844" w14:textId="1F1D0CD0" w:rsidR="005624F3" w:rsidRPr="00895EFC" w:rsidRDefault="005624F3" w:rsidP="00E55D21">
              <w:pPr>
                <w:pStyle w:val="Bibliography"/>
                <w:ind w:left="720" w:hanging="720"/>
                <w:jc w:val="both"/>
                <w:rPr>
                  <w:noProof/>
                </w:rPr>
              </w:pPr>
              <w:r w:rsidRPr="00895EFC">
                <w:rPr>
                  <w:noProof/>
                </w:rPr>
                <w:t xml:space="preserve">Miles, M., &amp; Huberman, A. (1992). </w:t>
              </w:r>
              <w:r w:rsidRPr="00895EFC">
                <w:rPr>
                  <w:i/>
                  <w:iCs/>
                  <w:noProof/>
                </w:rPr>
                <w:t>Analisis data Kualitatif: Buku sumber tentang metode-metode baru.</w:t>
              </w:r>
              <w:r w:rsidRPr="00895EFC">
                <w:rPr>
                  <w:noProof/>
                </w:rPr>
                <w:t xml:space="preserve"> Jakarta: UI Press.</w:t>
              </w:r>
            </w:p>
            <w:p w14:paraId="6056A9FD" w14:textId="77777777" w:rsidR="005624F3" w:rsidRPr="00895EFC" w:rsidRDefault="005624F3" w:rsidP="00E55D21">
              <w:pPr>
                <w:pStyle w:val="Bibliography"/>
                <w:ind w:left="720" w:hanging="720"/>
                <w:jc w:val="both"/>
                <w:rPr>
                  <w:noProof/>
                </w:rPr>
              </w:pPr>
              <w:r w:rsidRPr="00895EFC">
                <w:rPr>
                  <w:noProof/>
                </w:rPr>
                <w:t xml:space="preserve">Moleong, J. (2007). </w:t>
              </w:r>
              <w:r w:rsidRPr="00895EFC">
                <w:rPr>
                  <w:i/>
                  <w:iCs/>
                  <w:noProof/>
                </w:rPr>
                <w:t>Metodologi Penelitian Kualitatif.</w:t>
              </w:r>
              <w:r w:rsidRPr="00895EFC">
                <w:rPr>
                  <w:noProof/>
                </w:rPr>
                <w:t xml:space="preserve"> Bandung: PT. Remaja Rosdakarya.</w:t>
              </w:r>
            </w:p>
            <w:p w14:paraId="3EFB78E2" w14:textId="45F229DA" w:rsidR="005624F3" w:rsidRPr="00895EFC" w:rsidRDefault="005624F3" w:rsidP="00E55D21">
              <w:pPr>
                <w:pStyle w:val="Bibliography"/>
                <w:ind w:left="720" w:hanging="720"/>
                <w:jc w:val="both"/>
                <w:rPr>
                  <w:noProof/>
                </w:rPr>
              </w:pPr>
              <w:r w:rsidRPr="00895EFC">
                <w:rPr>
                  <w:noProof/>
                </w:rPr>
                <w:t xml:space="preserve">Nawawi, H., &amp; Martini, M. (1996). </w:t>
              </w:r>
              <w:r w:rsidRPr="00895EFC">
                <w:rPr>
                  <w:i/>
                  <w:iCs/>
                  <w:noProof/>
                </w:rPr>
                <w:t>Penelitian Terapan.</w:t>
              </w:r>
              <w:r w:rsidRPr="00895EFC">
                <w:rPr>
                  <w:noProof/>
                </w:rPr>
                <w:t xml:space="preserve"> Yogyakarta: Gajah Mada University Press.</w:t>
              </w:r>
            </w:p>
            <w:p w14:paraId="678B47D3" w14:textId="77777777" w:rsidR="005624F3" w:rsidRPr="00895EFC" w:rsidRDefault="005624F3" w:rsidP="00E55D21">
              <w:pPr>
                <w:pStyle w:val="Bibliography"/>
                <w:ind w:left="720" w:hanging="720"/>
                <w:jc w:val="both"/>
                <w:rPr>
                  <w:noProof/>
                </w:rPr>
              </w:pPr>
              <w:r w:rsidRPr="00895EFC">
                <w:rPr>
                  <w:noProof/>
                </w:rPr>
                <w:t xml:space="preserve">Pujiono, A. (2021). Media Sosial Sebagai Media Pembelajaran Bagi Generasi Z. </w:t>
              </w:r>
              <w:r w:rsidRPr="00895EFC">
                <w:rPr>
                  <w:i/>
                  <w:iCs/>
                  <w:noProof/>
                </w:rPr>
                <w:t>Didaché: Journal of Christian Education, 2</w:t>
              </w:r>
              <w:r w:rsidRPr="00895EFC">
                <w:rPr>
                  <w:noProof/>
                </w:rPr>
                <w:t>(1), 1-19.</w:t>
              </w:r>
            </w:p>
            <w:p w14:paraId="7436377E" w14:textId="19CFF7D7" w:rsidR="005624F3" w:rsidRPr="00895EFC" w:rsidRDefault="005624F3" w:rsidP="00E55D21">
              <w:pPr>
                <w:pStyle w:val="Bibliography"/>
                <w:ind w:left="720" w:hanging="720"/>
                <w:jc w:val="both"/>
                <w:rPr>
                  <w:noProof/>
                </w:rPr>
              </w:pPr>
              <w:r w:rsidRPr="00895EFC">
                <w:rPr>
                  <w:noProof/>
                </w:rPr>
                <w:t xml:space="preserve">Puspa, A. (2023, 7 11). </w:t>
              </w:r>
              <w:r w:rsidRPr="00895EFC">
                <w:rPr>
                  <w:i/>
                  <w:iCs/>
                  <w:noProof/>
                </w:rPr>
                <w:t>Humaniora</w:t>
              </w:r>
              <w:r w:rsidRPr="00895EFC">
                <w:rPr>
                  <w:noProof/>
                </w:rPr>
                <w:t>. Retrieved from Media Indonesia: https://mediaindonesia.com/humaniora/595815/pandawara-group-gugah-kesadaran-publik-akan-pentingnya-menjaga-lingkungan</w:t>
              </w:r>
            </w:p>
            <w:p w14:paraId="39DE73D1" w14:textId="468AE828" w:rsidR="005624F3" w:rsidRPr="00895EFC" w:rsidRDefault="005624F3" w:rsidP="00E55D21">
              <w:pPr>
                <w:pStyle w:val="Bibliography"/>
                <w:ind w:left="720" w:hanging="720"/>
                <w:jc w:val="both"/>
                <w:rPr>
                  <w:noProof/>
                </w:rPr>
              </w:pPr>
              <w:r w:rsidRPr="00895EFC">
                <w:rPr>
                  <w:noProof/>
                </w:rPr>
                <w:t xml:space="preserve">Qurniawati, R., &amp; Nurohman, Y. (2018). eWom Pada Generasi Z di Sosial Media. </w:t>
              </w:r>
              <w:r w:rsidRPr="00895EFC">
                <w:rPr>
                  <w:i/>
                  <w:iCs/>
                  <w:noProof/>
                </w:rPr>
                <w:t>Jurnal Manajemen Daya Saing, 20</w:t>
              </w:r>
              <w:r w:rsidRPr="00895EFC">
                <w:rPr>
                  <w:noProof/>
                </w:rPr>
                <w:t>(2), 70-80.</w:t>
              </w:r>
            </w:p>
            <w:p w14:paraId="7616A922" w14:textId="2ED44C5D" w:rsidR="005624F3" w:rsidRPr="00895EFC" w:rsidRDefault="005624F3" w:rsidP="00E55D21">
              <w:pPr>
                <w:pStyle w:val="Bibliography"/>
                <w:ind w:left="720" w:hanging="720"/>
                <w:jc w:val="both"/>
                <w:rPr>
                  <w:noProof/>
                </w:rPr>
              </w:pPr>
              <w:r w:rsidRPr="00895EFC">
                <w:rPr>
                  <w:noProof/>
                </w:rPr>
                <w:t xml:space="preserve">Rahman, A., &amp; Astriani, A. (2024). Audit Komunikasi Media Sosial Pandawara Group dalam Melakukan Kampanye Peduli Lingkungan. </w:t>
              </w:r>
              <w:r w:rsidRPr="00895EFC">
                <w:rPr>
                  <w:i/>
                  <w:iCs/>
                  <w:noProof/>
                </w:rPr>
                <w:t>Journal of Media and Communication Science, 7</w:t>
              </w:r>
              <w:r w:rsidRPr="00895EFC">
                <w:rPr>
                  <w:noProof/>
                </w:rPr>
                <w:t>(1), 7-18.</w:t>
              </w:r>
            </w:p>
            <w:p w14:paraId="31FA6FAB" w14:textId="77777777" w:rsidR="005624F3" w:rsidRPr="00895EFC" w:rsidRDefault="005624F3" w:rsidP="00E55D21">
              <w:pPr>
                <w:pStyle w:val="Bibliography"/>
                <w:ind w:left="720" w:hanging="720"/>
                <w:jc w:val="both"/>
                <w:rPr>
                  <w:noProof/>
                </w:rPr>
              </w:pPr>
              <w:r w:rsidRPr="00895EFC">
                <w:rPr>
                  <w:noProof/>
                </w:rPr>
                <w:t xml:space="preserve">Sugiyono. (2015). </w:t>
              </w:r>
              <w:r w:rsidRPr="00895EFC">
                <w:rPr>
                  <w:i/>
                  <w:iCs/>
                  <w:noProof/>
                </w:rPr>
                <w:t>Metode Penelitian Manajemen: Pendekatan Kuantitatif, Kualitatif, Kombinasi (Mixed Methods), Penelitian Tindakan (Action Research), Penelitian Evaluasi.</w:t>
              </w:r>
              <w:r w:rsidRPr="00895EFC">
                <w:rPr>
                  <w:noProof/>
                </w:rPr>
                <w:t xml:space="preserve"> Bandung: Alfabeta.</w:t>
              </w:r>
            </w:p>
            <w:p w14:paraId="1744B72A" w14:textId="6DF46B8D" w:rsidR="005624F3" w:rsidRPr="00895EFC" w:rsidRDefault="005624F3" w:rsidP="00E55D21">
              <w:pPr>
                <w:pStyle w:val="Bibliography"/>
                <w:ind w:left="720" w:hanging="720"/>
                <w:jc w:val="both"/>
                <w:rPr>
                  <w:noProof/>
                </w:rPr>
              </w:pPr>
              <w:r w:rsidRPr="00895EFC">
                <w:rPr>
                  <w:noProof/>
                </w:rPr>
                <w:t xml:space="preserve">Syafrina, A. (2023). Generation Z in Responding to Communication Trends on Instagram. </w:t>
              </w:r>
              <w:r w:rsidRPr="00895EFC">
                <w:rPr>
                  <w:i/>
                  <w:iCs/>
                  <w:noProof/>
                </w:rPr>
                <w:t>Semantik Journal of Social Media Communication and Journalism, 1</w:t>
              </w:r>
              <w:r w:rsidRPr="00895EFC">
                <w:rPr>
                  <w:noProof/>
                </w:rPr>
                <w:t>(2), 112-123.</w:t>
              </w:r>
            </w:p>
            <w:p w14:paraId="51DB06A5" w14:textId="77777777" w:rsidR="005624F3" w:rsidRPr="00895EFC" w:rsidRDefault="005624F3" w:rsidP="00E55D21">
              <w:pPr>
                <w:pStyle w:val="Bibliography"/>
                <w:ind w:left="720" w:hanging="720"/>
                <w:jc w:val="both"/>
                <w:rPr>
                  <w:noProof/>
                </w:rPr>
              </w:pPr>
              <w:r w:rsidRPr="00895EFC">
                <w:rPr>
                  <w:noProof/>
                </w:rPr>
                <w:t xml:space="preserve">Syafrina, A., &amp; Alfarisi, M. (2021). Penggunaan Media Sosial Facebook Sebagai Sarana Komunikasi Dan Informasi Di Kalangan Remaja (Studi Deskriptif Pada Remaja di Alamanda Regency Blok M.5 Rt 005/027). </w:t>
              </w:r>
              <w:r w:rsidRPr="00895EFC">
                <w:rPr>
                  <w:i/>
                  <w:iCs/>
                  <w:noProof/>
                </w:rPr>
                <w:t>Komunikasi, Masyarakat, dan Keamanan</w:t>
              </w:r>
              <w:r w:rsidRPr="00895EFC">
                <w:rPr>
                  <w:noProof/>
                </w:rPr>
                <w:t>, 17-28.</w:t>
              </w:r>
            </w:p>
            <w:p w14:paraId="7900899D" w14:textId="77777777" w:rsidR="005624F3" w:rsidRPr="00895EFC" w:rsidRDefault="005624F3" w:rsidP="00E55D21">
              <w:pPr>
                <w:pStyle w:val="Bibliography"/>
                <w:ind w:left="720" w:hanging="720"/>
                <w:jc w:val="both"/>
                <w:rPr>
                  <w:noProof/>
                </w:rPr>
              </w:pPr>
              <w:r w:rsidRPr="00895EFC">
                <w:rPr>
                  <w:noProof/>
                </w:rPr>
                <w:lastRenderedPageBreak/>
                <w:t xml:space="preserve">Wahyudin, U. (2017). Strategi Komunikasi Lingkungan Dalam Membangun Kepedulian Masyarakat Terhadap Lingkungan. </w:t>
              </w:r>
              <w:r w:rsidRPr="00895EFC">
                <w:rPr>
                  <w:i/>
                  <w:iCs/>
                  <w:noProof/>
                </w:rPr>
                <w:t>Jurnal Common, 1</w:t>
              </w:r>
              <w:r w:rsidRPr="00895EFC">
                <w:rPr>
                  <w:noProof/>
                </w:rPr>
                <w:t>(2), 130-134.</w:t>
              </w:r>
            </w:p>
            <w:p w14:paraId="69BAE6E2" w14:textId="77777777" w:rsidR="00767575" w:rsidRPr="00895EFC" w:rsidRDefault="00767575" w:rsidP="00E55D21">
              <w:pPr>
                <w:ind w:left="567" w:hanging="567"/>
                <w:jc w:val="both"/>
                <w:rPr>
                  <w:color w:val="000000" w:themeColor="text1"/>
                </w:rPr>
              </w:pPr>
              <w:r w:rsidRPr="00895EFC">
                <w:rPr>
                  <w:color w:val="000000" w:themeColor="text1"/>
                </w:rPr>
                <w:t>Yonatan, Agnes Z. 2023. https://data.goodstats.id/statistic/agneszefanyayonatan/menilik-pengguna-media-sosial-indonesia-2017-2026-xUAlp diakses 14 Juli 2023</w:t>
              </w:r>
            </w:p>
            <w:p w14:paraId="3E36B8F4" w14:textId="77777777" w:rsidR="00767575" w:rsidRPr="00895EFC" w:rsidRDefault="00767575" w:rsidP="00E55D21"/>
            <w:p w14:paraId="1A3E1362" w14:textId="2B27F831" w:rsidR="00340BC1" w:rsidRPr="00895EFC" w:rsidRDefault="005624F3" w:rsidP="009571DE">
              <w:pPr>
                <w:sectPr w:rsidR="00340BC1" w:rsidRPr="00895EFC" w:rsidSect="00987DC8">
                  <w:headerReference w:type="default" r:id="rId10"/>
                  <w:footerReference w:type="default" r:id="rId11"/>
                  <w:headerReference w:type="first" r:id="rId12"/>
                  <w:footerReference w:type="first" r:id="rId13"/>
                  <w:pgSz w:w="11910" w:h="16840"/>
                  <w:pgMar w:top="1440" w:right="1440" w:bottom="1440" w:left="1440" w:header="0" w:footer="1103" w:gutter="0"/>
                  <w:pgNumType w:start="92"/>
                  <w:cols w:space="720"/>
                  <w:titlePg/>
                  <w:docGrid w:linePitch="299"/>
                </w:sectPr>
              </w:pPr>
              <w:r w:rsidRPr="00895EFC">
                <w:rPr>
                  <w:b/>
                  <w:bCs/>
                  <w:noProof/>
                </w:rPr>
                <w:fldChar w:fldCharType="end"/>
              </w:r>
            </w:p>
          </w:sdtContent>
        </w:sdt>
      </w:sdtContent>
    </w:sdt>
    <w:p w14:paraId="318E6883" w14:textId="77777777" w:rsidR="001E7349" w:rsidRPr="00895EFC" w:rsidRDefault="001E7349" w:rsidP="001254F1">
      <w:pPr>
        <w:pStyle w:val="BodyText"/>
        <w:spacing w:after="120" w:line="360" w:lineRule="auto"/>
        <w:ind w:left="0"/>
        <w:rPr>
          <w:b/>
        </w:rPr>
      </w:pPr>
    </w:p>
    <w:sectPr w:rsidR="001E7349" w:rsidRPr="00895EFC" w:rsidSect="002B5212">
      <w:headerReference w:type="default" r:id="rId14"/>
      <w:pgSz w:w="11900" w:h="16840"/>
      <w:pgMar w:top="1700" w:right="1580" w:bottom="1140" w:left="1640" w:header="704" w:footer="9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8EAD" w14:textId="77777777" w:rsidR="00FA7ED2" w:rsidRDefault="00FA7ED2" w:rsidP="00DE1D00">
      <w:r>
        <w:separator/>
      </w:r>
    </w:p>
  </w:endnote>
  <w:endnote w:type="continuationSeparator" w:id="0">
    <w:p w14:paraId="340C9167" w14:textId="77777777" w:rsidR="00FA7ED2" w:rsidRDefault="00FA7ED2" w:rsidP="00D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205928017"/>
      <w:docPartObj>
        <w:docPartGallery w:val="Page Numbers (Bottom of Page)"/>
        <w:docPartUnique/>
      </w:docPartObj>
    </w:sdtPr>
    <w:sdtEndPr>
      <w:rPr>
        <w:color w:val="7F7F7F" w:themeColor="background1" w:themeShade="7F"/>
        <w:spacing w:val="60"/>
      </w:rPr>
    </w:sdtEndPr>
    <w:sdtContent>
      <w:p w14:paraId="6E3F0490" w14:textId="7B6DB245" w:rsidR="00DB15DA" w:rsidRPr="00C17976" w:rsidRDefault="00DB15DA">
        <w:pPr>
          <w:pStyle w:val="Footer"/>
          <w:pBdr>
            <w:top w:val="single" w:sz="4" w:space="1" w:color="D9D9D9" w:themeColor="background1" w:themeShade="D9"/>
          </w:pBdr>
          <w:jc w:val="right"/>
          <w:rPr>
            <w:rFonts w:asciiTheme="minorHAnsi" w:hAnsiTheme="minorHAnsi" w:cstheme="minorHAnsi"/>
          </w:rPr>
        </w:pPr>
        <w:r w:rsidRPr="00C17976">
          <w:rPr>
            <w:rFonts w:asciiTheme="minorHAnsi" w:hAnsiTheme="minorHAnsi" w:cstheme="minorHAnsi"/>
          </w:rPr>
          <w:fldChar w:fldCharType="begin"/>
        </w:r>
        <w:r w:rsidRPr="00C17976">
          <w:rPr>
            <w:rFonts w:asciiTheme="minorHAnsi" w:hAnsiTheme="minorHAnsi" w:cstheme="minorHAnsi"/>
          </w:rPr>
          <w:instrText xml:space="preserve"> PAGE   \* MERGEFORMAT </w:instrText>
        </w:r>
        <w:r w:rsidRPr="00C17976">
          <w:rPr>
            <w:rFonts w:asciiTheme="minorHAnsi" w:hAnsiTheme="minorHAnsi" w:cstheme="minorHAnsi"/>
          </w:rPr>
          <w:fldChar w:fldCharType="separate"/>
        </w:r>
        <w:r w:rsidRPr="00C17976">
          <w:rPr>
            <w:rFonts w:asciiTheme="minorHAnsi" w:hAnsiTheme="minorHAnsi" w:cstheme="minorHAnsi"/>
            <w:noProof/>
          </w:rPr>
          <w:t>2</w:t>
        </w:r>
        <w:r w:rsidRPr="00C17976">
          <w:rPr>
            <w:rFonts w:asciiTheme="minorHAnsi" w:hAnsiTheme="minorHAnsi" w:cstheme="minorHAnsi"/>
            <w:noProof/>
          </w:rPr>
          <w:fldChar w:fldCharType="end"/>
        </w:r>
        <w:r w:rsidRPr="00C17976">
          <w:rPr>
            <w:rFonts w:asciiTheme="minorHAnsi" w:hAnsiTheme="minorHAnsi" w:cstheme="minorHAnsi"/>
          </w:rPr>
          <w:t xml:space="preserve"> | </w:t>
        </w:r>
        <w:r w:rsidRPr="00C17976">
          <w:rPr>
            <w:rFonts w:asciiTheme="minorHAnsi" w:hAnsiTheme="minorHAnsi" w:cstheme="minorHAnsi"/>
            <w:color w:val="7F7F7F" w:themeColor="background1" w:themeShade="7F"/>
            <w:spacing w:val="60"/>
          </w:rPr>
          <w:t>KOMASKAM</w:t>
        </w:r>
      </w:p>
    </w:sdtContent>
  </w:sdt>
  <w:p w14:paraId="2489CF71" w14:textId="77777777" w:rsidR="00DB15DA" w:rsidRDefault="00DB1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920356"/>
      <w:docPartObj>
        <w:docPartGallery w:val="Page Numbers (Bottom of Page)"/>
        <w:docPartUnique/>
      </w:docPartObj>
    </w:sdtPr>
    <w:sdtEndPr>
      <w:rPr>
        <w:color w:val="7F7F7F" w:themeColor="background1" w:themeShade="7F"/>
        <w:spacing w:val="60"/>
      </w:rPr>
    </w:sdtEndPr>
    <w:sdtContent>
      <w:p w14:paraId="4F8A41CB" w14:textId="77777777" w:rsidR="00DB15DA" w:rsidRDefault="00DB15DA" w:rsidP="00340BC1">
        <w:pPr>
          <w:pStyle w:val="Footer"/>
          <w:pBdr>
            <w:top w:val="single" w:sz="4" w:space="1" w:color="D9D9D9" w:themeColor="background1" w:themeShade="D9"/>
          </w:pBdr>
          <w:rPr>
            <w:color w:val="7F7F7F" w:themeColor="background1" w:themeShade="7F"/>
            <w:spacing w:val="60"/>
            <w:lang w:val="de-DE"/>
          </w:rPr>
        </w:pPr>
        <w:r>
          <w:fldChar w:fldCharType="begin"/>
        </w:r>
        <w:r w:rsidRPr="005F52B8">
          <w:rPr>
            <w:lang w:val="de-DE"/>
          </w:rPr>
          <w:instrText xml:space="preserve"> PAGE   \* MERGEFORMAT </w:instrText>
        </w:r>
        <w:r>
          <w:fldChar w:fldCharType="separate"/>
        </w:r>
        <w:r>
          <w:t>2</w:t>
        </w:r>
        <w:r>
          <w:rPr>
            <w:b/>
            <w:bCs/>
            <w:noProof/>
          </w:rPr>
          <w:fldChar w:fldCharType="end"/>
        </w:r>
        <w:r w:rsidRPr="005F52B8">
          <w:rPr>
            <w:b/>
            <w:bCs/>
            <w:lang w:val="de-DE"/>
          </w:rPr>
          <w:t xml:space="preserve"> | </w:t>
        </w:r>
        <w:r w:rsidRPr="005F52B8">
          <w:rPr>
            <w:color w:val="7F7F7F" w:themeColor="background1" w:themeShade="7F"/>
            <w:spacing w:val="60"/>
            <w:lang w:val="de-DE"/>
          </w:rPr>
          <w:t>JurnalKomunikasi,</w:t>
        </w:r>
        <w:r>
          <w:rPr>
            <w:color w:val="7F7F7F" w:themeColor="background1" w:themeShade="7F"/>
            <w:spacing w:val="60"/>
            <w:lang w:val="de-DE"/>
          </w:rPr>
          <w:t xml:space="preserve"> </w:t>
        </w:r>
        <w:r w:rsidRPr="005F52B8">
          <w:rPr>
            <w:color w:val="7F7F7F" w:themeColor="background1" w:themeShade="7F"/>
            <w:spacing w:val="60"/>
            <w:lang w:val="de-DE"/>
          </w:rPr>
          <w:t>MasyarakatdanKeamanan</w:t>
        </w:r>
      </w:p>
      <w:p w14:paraId="66F990E7" w14:textId="6CC2ADB8" w:rsidR="00DB15DA" w:rsidRPr="00340BC1" w:rsidRDefault="00DB15DA" w:rsidP="00340BC1">
        <w:pPr>
          <w:pStyle w:val="Footer"/>
          <w:pBdr>
            <w:top w:val="single" w:sz="4" w:space="1" w:color="D9D9D9" w:themeColor="background1" w:themeShade="D9"/>
          </w:pBdr>
          <w:ind w:left="284"/>
          <w:rPr>
            <w:b/>
            <w:bCs/>
            <w:lang w:val="de-DE"/>
          </w:rPr>
        </w:pPr>
        <w:r w:rsidRPr="005F52B8">
          <w:rPr>
            <w:color w:val="7F7F7F" w:themeColor="background1" w:themeShade="7F"/>
            <w:spacing w:val="60"/>
            <w:lang w:val="de-DE"/>
          </w:rPr>
          <w:t>(KOMASKAM</w:t>
        </w:r>
        <w:r>
          <w:rPr>
            <w:color w:val="7F7F7F" w:themeColor="background1" w:themeShade="7F"/>
            <w:spacing w:val="60"/>
            <w:lang w:val="de-DE"/>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4766" w14:textId="77777777" w:rsidR="00FA7ED2" w:rsidRDefault="00FA7ED2" w:rsidP="00DE1D00">
      <w:r>
        <w:separator/>
      </w:r>
    </w:p>
  </w:footnote>
  <w:footnote w:type="continuationSeparator" w:id="0">
    <w:p w14:paraId="021A611D" w14:textId="77777777" w:rsidR="00FA7ED2" w:rsidRDefault="00FA7ED2" w:rsidP="00DE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DBE" w14:textId="3E90B32F" w:rsidR="00DB15DA" w:rsidRDefault="00DB15DA">
    <w:pPr>
      <w:pStyle w:val="Header"/>
    </w:pPr>
  </w:p>
  <w:p w14:paraId="5CE42340" w14:textId="77777777" w:rsidR="00DB15DA" w:rsidRDefault="00DB15DA">
    <w:pPr>
      <w:pStyle w:val="Header"/>
    </w:pPr>
  </w:p>
  <w:p w14:paraId="532B9735" w14:textId="324EA2C2" w:rsidR="00DB15DA" w:rsidRPr="00F32860" w:rsidRDefault="00987DC8">
    <w:pPr>
      <w:pStyle w:val="Header"/>
      <w:rPr>
        <w:rFonts w:asciiTheme="minorHAnsi" w:hAnsiTheme="minorHAnsi" w:cstheme="minorHAnsi"/>
        <w:i/>
        <w:iCs/>
        <w:sz w:val="22"/>
        <w:szCs w:val="22"/>
        <w:lang w:val="de-DE"/>
      </w:rPr>
    </w:pPr>
    <w:r w:rsidRPr="00987DC8">
      <w:rPr>
        <w:rFonts w:asciiTheme="minorHAnsi" w:hAnsiTheme="minorHAnsi" w:cstheme="minorHAnsi"/>
        <w:i/>
        <w:iCs/>
        <w:sz w:val="22"/>
        <w:szCs w:val="22"/>
        <w:lang w:val="de-DE"/>
      </w:rPr>
      <w:t>Media Political Communication</w:t>
    </w:r>
    <w:r>
      <w:rPr>
        <w:rFonts w:asciiTheme="minorHAnsi" w:hAnsiTheme="minorHAnsi" w:cstheme="minorHAnsi"/>
        <w:i/>
        <w:iCs/>
        <w:sz w:val="22"/>
        <w:szCs w:val="22"/>
        <w:lang w:val="de-DE"/>
      </w:rPr>
      <w:t xml:space="preserve"> </w:t>
    </w:r>
    <w:r w:rsidR="00DB15DA" w:rsidRPr="00F32860">
      <w:rPr>
        <w:rFonts w:asciiTheme="minorHAnsi" w:hAnsiTheme="minorHAnsi" w:cstheme="minorHAnsi"/>
        <w:i/>
        <w:iCs/>
        <w:sz w:val="22"/>
        <w:szCs w:val="22"/>
        <w:lang w:val="de-DE"/>
      </w:rPr>
      <w:t xml:space="preserve">… </w:t>
    </w:r>
    <w:r w:rsidRPr="00987DC8">
      <w:rPr>
        <w:rFonts w:asciiTheme="minorHAnsi" w:hAnsiTheme="minorHAnsi" w:cstheme="minorHAnsi"/>
        <w:i/>
        <w:iCs/>
        <w:sz w:val="22"/>
        <w:szCs w:val="22"/>
        <w:lang w:val="de-DE"/>
      </w:rPr>
      <w:t>Afina Ruqayyah</w:t>
    </w:r>
  </w:p>
  <w:p w14:paraId="3421675C" w14:textId="77777777" w:rsidR="00DB15DA" w:rsidRPr="00F32860" w:rsidRDefault="00DB15DA">
    <w:pPr>
      <w:pStyle w:val="Header"/>
      <w:rPr>
        <w:rFonts w:asciiTheme="minorHAnsi" w:hAnsiTheme="minorHAnsi" w:cstheme="minorHAnsi"/>
        <w:i/>
        <w:iCs/>
        <w:sz w:val="22"/>
        <w:szCs w:val="22"/>
        <w:lang w:val="de-DE"/>
      </w:rPr>
    </w:pPr>
  </w:p>
  <w:p w14:paraId="58BF2C10" w14:textId="0E93B943" w:rsidR="00DB15DA" w:rsidRPr="00C17976" w:rsidRDefault="00DB15DA">
    <w:pPr>
      <w:pStyle w:val="Header"/>
      <w:rPr>
        <w:i/>
        <w:iCs/>
        <w:sz w:val="22"/>
        <w:szCs w:val="22"/>
      </w:rPr>
    </w:pPr>
    <w:proofErr w:type="spellStart"/>
    <w:r w:rsidRPr="00C17976">
      <w:rPr>
        <w:i/>
        <w:iCs/>
        <w:sz w:val="22"/>
        <w:szCs w:val="22"/>
      </w:rPr>
      <w:t>Diterima</w:t>
    </w:r>
    <w:proofErr w:type="spellEnd"/>
    <w:r w:rsidRPr="00C17976">
      <w:rPr>
        <w:i/>
        <w:iCs/>
        <w:sz w:val="22"/>
        <w:szCs w:val="22"/>
      </w:rPr>
      <w:t xml:space="preserve">: </w:t>
    </w:r>
    <w:r w:rsidR="00DD3766">
      <w:rPr>
        <w:i/>
        <w:iCs/>
        <w:sz w:val="22"/>
        <w:szCs w:val="22"/>
      </w:rPr>
      <w:t xml:space="preserve">20 April 2025, </w:t>
    </w:r>
    <w:proofErr w:type="spellStart"/>
    <w:r w:rsidR="00DD3766">
      <w:rPr>
        <w:i/>
        <w:iCs/>
        <w:sz w:val="22"/>
        <w:szCs w:val="22"/>
      </w:rPr>
      <w:t>Direvisi</w:t>
    </w:r>
    <w:proofErr w:type="spellEnd"/>
    <w:r w:rsidR="00DD3766">
      <w:rPr>
        <w:i/>
        <w:iCs/>
        <w:sz w:val="22"/>
        <w:szCs w:val="22"/>
      </w:rPr>
      <w:t xml:space="preserve">: 12 </w:t>
    </w:r>
    <w:proofErr w:type="spellStart"/>
    <w:r w:rsidR="00DD3766">
      <w:rPr>
        <w:i/>
        <w:iCs/>
        <w:sz w:val="22"/>
        <w:szCs w:val="22"/>
      </w:rPr>
      <w:t>Desember</w:t>
    </w:r>
    <w:proofErr w:type="spellEnd"/>
    <w:r w:rsidR="00DD3766">
      <w:rPr>
        <w:i/>
        <w:iCs/>
        <w:sz w:val="22"/>
        <w:szCs w:val="22"/>
      </w:rPr>
      <w:t xml:space="preserve"> 2025, </w:t>
    </w:r>
    <w:proofErr w:type="spellStart"/>
    <w:r w:rsidR="00DD3766">
      <w:rPr>
        <w:i/>
        <w:iCs/>
        <w:sz w:val="22"/>
        <w:szCs w:val="22"/>
      </w:rPr>
      <w:t>Diterbitkan</w:t>
    </w:r>
    <w:proofErr w:type="spellEnd"/>
    <w:r w:rsidR="00DD3766">
      <w:rPr>
        <w:i/>
        <w:iCs/>
        <w:sz w:val="22"/>
        <w:szCs w:val="22"/>
      </w:rPr>
      <w:t xml:space="preserve">: 16 </w:t>
    </w:r>
    <w:proofErr w:type="spellStart"/>
    <w:r w:rsidR="00DD3766">
      <w:rPr>
        <w:i/>
        <w:iCs/>
        <w:sz w:val="22"/>
        <w:szCs w:val="22"/>
      </w:rPr>
      <w:t>Desember</w:t>
    </w:r>
    <w:proofErr w:type="spellEnd"/>
    <w:r w:rsidR="00DD3766">
      <w:rPr>
        <w:i/>
        <w:iCs/>
        <w:sz w:val="22"/>
        <w:szCs w:val="22"/>
      </w:rPr>
      <w:t xml:space="preserve"> 2025</w:t>
    </w:r>
  </w:p>
  <w:p w14:paraId="30E49ED8" w14:textId="77777777" w:rsidR="00DB15DA" w:rsidRDefault="00DB1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517" w14:textId="77777777" w:rsidR="00DB15DA" w:rsidRDefault="00DB15DA">
    <w:pPr>
      <w:pStyle w:val="Header"/>
    </w:pPr>
  </w:p>
  <w:p w14:paraId="08F8E19E" w14:textId="77777777" w:rsidR="00DB15DA" w:rsidRDefault="00DB15DA" w:rsidP="00DB15DA">
    <w:pPr>
      <w:pStyle w:val="Header"/>
    </w:pPr>
  </w:p>
  <w:p w14:paraId="4EF43135" w14:textId="77777777" w:rsidR="00DB15DA" w:rsidRDefault="00DB15DA" w:rsidP="00DB15DA">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6"/>
      <w:gridCol w:w="2491"/>
    </w:tblGrid>
    <w:tr w:rsidR="00DB15DA" w14:paraId="0AD1A54B" w14:textId="77777777" w:rsidTr="00DB15DA">
      <w:trPr>
        <w:trHeight w:val="290"/>
      </w:trPr>
      <w:tc>
        <w:tcPr>
          <w:tcW w:w="6506" w:type="dxa"/>
          <w:tcBorders>
            <w:bottom w:val="single" w:sz="18" w:space="0" w:color="595959" w:themeColor="text1" w:themeTint="A6"/>
            <w:right w:val="single" w:sz="18" w:space="0" w:color="595959" w:themeColor="text1" w:themeTint="A6"/>
          </w:tcBorders>
          <w:vAlign w:val="center"/>
        </w:tcPr>
        <w:p w14:paraId="09108AAF" w14:textId="24CD86D0" w:rsidR="00DB15DA" w:rsidRPr="00CF36B3" w:rsidRDefault="00DB15DA" w:rsidP="00DB15DA">
          <w:pPr>
            <w:pStyle w:val="Header"/>
            <w:rPr>
              <w:rFonts w:asciiTheme="minorHAnsi" w:hAnsiTheme="minorHAnsi" w:cstheme="minorHAnsi"/>
              <w:b/>
              <w:bCs/>
            </w:rPr>
          </w:pPr>
          <w:r w:rsidRPr="00CF36B3">
            <w:rPr>
              <w:rFonts w:asciiTheme="minorHAnsi" w:hAnsiTheme="minorHAnsi" w:cstheme="minorHAnsi"/>
              <w:b/>
              <w:bCs/>
            </w:rPr>
            <w:t>Vol.</w:t>
          </w:r>
          <w:r w:rsidR="000F69CC">
            <w:rPr>
              <w:rFonts w:asciiTheme="minorHAnsi" w:hAnsiTheme="minorHAnsi" w:cstheme="minorHAnsi"/>
              <w:b/>
              <w:bCs/>
            </w:rPr>
            <w:t xml:space="preserve"> 7 </w:t>
          </w:r>
          <w:r w:rsidRPr="00CF36B3">
            <w:rPr>
              <w:rFonts w:asciiTheme="minorHAnsi" w:hAnsiTheme="minorHAnsi" w:cstheme="minorHAnsi"/>
              <w:b/>
              <w:bCs/>
            </w:rPr>
            <w:t>No.</w:t>
          </w:r>
          <w:r w:rsidR="000F69CC">
            <w:rPr>
              <w:rFonts w:asciiTheme="minorHAnsi" w:hAnsiTheme="minorHAnsi" w:cstheme="minorHAnsi"/>
              <w:b/>
              <w:bCs/>
            </w:rPr>
            <w:t xml:space="preserve"> 2 </w:t>
          </w:r>
          <w:proofErr w:type="spellStart"/>
          <w:r w:rsidR="000F69CC">
            <w:rPr>
              <w:rFonts w:asciiTheme="minorHAnsi" w:hAnsiTheme="minorHAnsi" w:cstheme="minorHAnsi"/>
              <w:b/>
              <w:bCs/>
            </w:rPr>
            <w:t>Oktober</w:t>
          </w:r>
          <w:proofErr w:type="spellEnd"/>
          <w:r w:rsidR="000F69CC">
            <w:rPr>
              <w:rFonts w:asciiTheme="minorHAnsi" w:hAnsiTheme="minorHAnsi" w:cstheme="minorHAnsi"/>
              <w:b/>
              <w:bCs/>
            </w:rPr>
            <w:t xml:space="preserve"> </w:t>
          </w:r>
          <w:r w:rsidRPr="00CF36B3">
            <w:rPr>
              <w:rFonts w:asciiTheme="minorHAnsi" w:hAnsiTheme="minorHAnsi" w:cstheme="minorHAnsi"/>
              <w:b/>
              <w:bCs/>
            </w:rPr>
            <w:t>2025</w:t>
          </w:r>
        </w:p>
      </w:tc>
      <w:tc>
        <w:tcPr>
          <w:tcW w:w="2491" w:type="dxa"/>
          <w:tcBorders>
            <w:left w:val="single" w:sz="18" w:space="0" w:color="595959" w:themeColor="text1" w:themeTint="A6"/>
            <w:bottom w:val="single" w:sz="18" w:space="0" w:color="595959" w:themeColor="text1" w:themeTint="A6"/>
            <w:right w:val="single" w:sz="18" w:space="0" w:color="595959" w:themeColor="text1" w:themeTint="A6"/>
          </w:tcBorders>
          <w:vAlign w:val="center"/>
        </w:tcPr>
        <w:p w14:paraId="5AA5198A" w14:textId="77777777" w:rsidR="00DB15DA" w:rsidRPr="005F52B8" w:rsidRDefault="00DB15DA" w:rsidP="00DB15DA">
          <w:pPr>
            <w:pStyle w:val="Header"/>
            <w:rPr>
              <w:rFonts w:asciiTheme="minorHAnsi" w:hAnsiTheme="minorHAnsi" w:cstheme="minorHAnsi"/>
              <w:b/>
              <w:bCs/>
            </w:rPr>
          </w:pPr>
          <w:r w:rsidRPr="005F52B8">
            <w:rPr>
              <w:rFonts w:asciiTheme="minorHAnsi" w:hAnsiTheme="minorHAnsi" w:cstheme="minorHAnsi"/>
              <w:b/>
              <w:bCs/>
              <w:sz w:val="28"/>
              <w:szCs w:val="28"/>
            </w:rPr>
            <w:t>ISSN:</w:t>
          </w:r>
          <w:r w:rsidRPr="005F52B8">
            <w:rPr>
              <w:rFonts w:asciiTheme="minorHAnsi" w:hAnsiTheme="minorHAnsi" w:cstheme="minorHAnsi"/>
              <w:b/>
              <w:bCs/>
            </w:rPr>
            <w:t xml:space="preserve"> 2656-6125</w:t>
          </w:r>
        </w:p>
      </w:tc>
    </w:tr>
  </w:tbl>
  <w:p w14:paraId="27BEDFC7" w14:textId="77777777" w:rsidR="00DB15DA" w:rsidRDefault="00DB15DA" w:rsidP="00F24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65E9" w14:textId="3735AFCA" w:rsidR="001E7349" w:rsidRPr="002B5212" w:rsidRDefault="001E7349" w:rsidP="002B5212">
    <w:pPr>
      <w:pStyle w:val="Header"/>
      <w:rPr>
        <w:i/>
        <w:iCs/>
      </w:rPr>
    </w:pPr>
    <w:proofErr w:type="spellStart"/>
    <w:r>
      <w:rPr>
        <w:i/>
        <w:iCs/>
      </w:rPr>
      <w:t>Menerjemahkan</w:t>
    </w:r>
    <w:proofErr w:type="spellEnd"/>
    <w:r>
      <w:rPr>
        <w:i/>
        <w:iCs/>
      </w:rPr>
      <w:t xml:space="preserve"> </w:t>
    </w:r>
    <w:proofErr w:type="spellStart"/>
    <w:r>
      <w:rPr>
        <w:i/>
        <w:iCs/>
      </w:rPr>
      <w:t>Teror</w:t>
    </w:r>
    <w:proofErr w:type="spellEnd"/>
    <w:r>
      <w:rPr>
        <w:i/>
        <w:iCs/>
      </w:rPr>
      <w:t>,</w:t>
    </w:r>
    <w:r w:rsidRPr="002B5212">
      <w:rPr>
        <w:i/>
        <w:iCs/>
      </w:rPr>
      <w:t xml:space="preserve"> … </w:t>
    </w:r>
    <w:proofErr w:type="spellStart"/>
    <w:r>
      <w:rPr>
        <w:i/>
        <w:iCs/>
      </w:rPr>
      <w:t>Ratna</w:t>
    </w:r>
    <w:proofErr w:type="spellEnd"/>
    <w:r>
      <w:rPr>
        <w:i/>
        <w:iCs/>
      </w:rPr>
      <w:t xml:space="preserve"> </w:t>
    </w:r>
    <w:proofErr w:type="spellStart"/>
    <w:r>
      <w:rPr>
        <w:i/>
        <w:iCs/>
      </w:rPr>
      <w:t>Puspita</w:t>
    </w:r>
    <w:proofErr w:type="spellEnd"/>
    <w:r w:rsidRPr="002B5212">
      <w:rPr>
        <w:i/>
        <w:iCs/>
      </w:rPr>
      <w:t xml:space="preserve"> et al.</w:t>
    </w:r>
  </w:p>
  <w:p w14:paraId="4CCF81EC" w14:textId="77777777" w:rsidR="001E7349" w:rsidRPr="002B5212" w:rsidRDefault="001E7349" w:rsidP="002B5212">
    <w:pPr>
      <w:pStyle w:val="Header"/>
      <w:rPr>
        <w:i/>
        <w:iCs/>
      </w:rPr>
    </w:pPr>
  </w:p>
  <w:p w14:paraId="4FB81240" w14:textId="77777777" w:rsidR="001E7349" w:rsidRPr="002B5212" w:rsidRDefault="001E7349" w:rsidP="002B5212">
    <w:pPr>
      <w:pStyle w:val="Header"/>
      <w:rPr>
        <w:rFonts w:asciiTheme="minorHAnsi" w:hAnsiTheme="minorHAnsi" w:cstheme="minorHAnsi"/>
        <w:i/>
        <w:iCs/>
      </w:rPr>
    </w:pPr>
    <w:proofErr w:type="spellStart"/>
    <w:r w:rsidRPr="002B5212">
      <w:rPr>
        <w:rFonts w:asciiTheme="minorHAnsi" w:hAnsiTheme="minorHAnsi" w:cstheme="minorHAnsi"/>
        <w:i/>
        <w:iCs/>
      </w:rPr>
      <w:t>Diterima</w:t>
    </w:r>
    <w:proofErr w:type="spellEnd"/>
    <w:r w:rsidRPr="002B5212">
      <w:rPr>
        <w:rFonts w:asciiTheme="minorHAnsi" w:hAnsiTheme="minorHAnsi" w:cstheme="minorHAnsi"/>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38E"/>
    <w:multiLevelType w:val="multilevel"/>
    <w:tmpl w:val="227A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84EE6"/>
    <w:multiLevelType w:val="multilevel"/>
    <w:tmpl w:val="2A3C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07393"/>
    <w:multiLevelType w:val="multilevel"/>
    <w:tmpl w:val="3CF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47F71"/>
    <w:multiLevelType w:val="multilevel"/>
    <w:tmpl w:val="F24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D3C9D"/>
    <w:multiLevelType w:val="hybridMultilevel"/>
    <w:tmpl w:val="05C259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BA55C0F"/>
    <w:multiLevelType w:val="multilevel"/>
    <w:tmpl w:val="3CF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D0E19"/>
    <w:multiLevelType w:val="multilevel"/>
    <w:tmpl w:val="1D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3B78"/>
    <w:multiLevelType w:val="multilevel"/>
    <w:tmpl w:val="367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77671"/>
    <w:multiLevelType w:val="multilevel"/>
    <w:tmpl w:val="3FD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3502A"/>
    <w:multiLevelType w:val="multilevel"/>
    <w:tmpl w:val="3CC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15333"/>
    <w:multiLevelType w:val="multilevel"/>
    <w:tmpl w:val="3F84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9168D"/>
    <w:multiLevelType w:val="hybridMultilevel"/>
    <w:tmpl w:val="201E7B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A1823E3"/>
    <w:multiLevelType w:val="multilevel"/>
    <w:tmpl w:val="037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B48E2"/>
    <w:multiLevelType w:val="multilevel"/>
    <w:tmpl w:val="BA1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138CF"/>
    <w:multiLevelType w:val="multilevel"/>
    <w:tmpl w:val="32F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2"/>
  </w:num>
  <w:num w:numId="4">
    <w:abstractNumId w:val="14"/>
  </w:num>
  <w:num w:numId="5">
    <w:abstractNumId w:val="7"/>
  </w:num>
  <w:num w:numId="6">
    <w:abstractNumId w:val="13"/>
  </w:num>
  <w:num w:numId="7">
    <w:abstractNumId w:val="8"/>
  </w:num>
  <w:num w:numId="8">
    <w:abstractNumId w:val="2"/>
  </w:num>
  <w:num w:numId="9">
    <w:abstractNumId w:val="10"/>
  </w:num>
  <w:num w:numId="10">
    <w:abstractNumId w:val="6"/>
  </w:num>
  <w:num w:numId="11">
    <w:abstractNumId w:val="9"/>
  </w:num>
  <w:num w:numId="12">
    <w:abstractNumId w:val="3"/>
  </w:num>
  <w:num w:numId="13">
    <w:abstractNumId w:val="4"/>
  </w:num>
  <w:num w:numId="14">
    <w:abstractNumId w:val="5"/>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3C"/>
    <w:rsid w:val="00005C45"/>
    <w:rsid w:val="00006F03"/>
    <w:rsid w:val="00011455"/>
    <w:rsid w:val="00014E1D"/>
    <w:rsid w:val="000154A9"/>
    <w:rsid w:val="000223E3"/>
    <w:rsid w:val="0002537D"/>
    <w:rsid w:val="00036589"/>
    <w:rsid w:val="000369AD"/>
    <w:rsid w:val="00040E0E"/>
    <w:rsid w:val="00044AF4"/>
    <w:rsid w:val="00045F51"/>
    <w:rsid w:val="00047117"/>
    <w:rsid w:val="0005477C"/>
    <w:rsid w:val="000632AE"/>
    <w:rsid w:val="000656A3"/>
    <w:rsid w:val="00065E51"/>
    <w:rsid w:val="000706D4"/>
    <w:rsid w:val="00074655"/>
    <w:rsid w:val="00081A06"/>
    <w:rsid w:val="00091284"/>
    <w:rsid w:val="00095446"/>
    <w:rsid w:val="00095C76"/>
    <w:rsid w:val="000A040B"/>
    <w:rsid w:val="000A091A"/>
    <w:rsid w:val="000A1CA5"/>
    <w:rsid w:val="000A268D"/>
    <w:rsid w:val="000A367E"/>
    <w:rsid w:val="000A5169"/>
    <w:rsid w:val="000A741E"/>
    <w:rsid w:val="000B30C6"/>
    <w:rsid w:val="000C0220"/>
    <w:rsid w:val="000C09ED"/>
    <w:rsid w:val="000C1E57"/>
    <w:rsid w:val="000C2A3A"/>
    <w:rsid w:val="000D406F"/>
    <w:rsid w:val="000E2290"/>
    <w:rsid w:val="000E32E1"/>
    <w:rsid w:val="000E6688"/>
    <w:rsid w:val="000E6723"/>
    <w:rsid w:val="000F14A6"/>
    <w:rsid w:val="000F69CC"/>
    <w:rsid w:val="00103618"/>
    <w:rsid w:val="001036A4"/>
    <w:rsid w:val="00103BC9"/>
    <w:rsid w:val="00103BCA"/>
    <w:rsid w:val="0011232B"/>
    <w:rsid w:val="001141A7"/>
    <w:rsid w:val="00116A65"/>
    <w:rsid w:val="00124833"/>
    <w:rsid w:val="00124DE4"/>
    <w:rsid w:val="001254F1"/>
    <w:rsid w:val="00130358"/>
    <w:rsid w:val="00135E9E"/>
    <w:rsid w:val="00136CEE"/>
    <w:rsid w:val="001425E5"/>
    <w:rsid w:val="001433B3"/>
    <w:rsid w:val="00144970"/>
    <w:rsid w:val="00145DAE"/>
    <w:rsid w:val="00147B2A"/>
    <w:rsid w:val="001514B4"/>
    <w:rsid w:val="00155611"/>
    <w:rsid w:val="001654F4"/>
    <w:rsid w:val="00167FB0"/>
    <w:rsid w:val="001837D6"/>
    <w:rsid w:val="00183D89"/>
    <w:rsid w:val="001864D7"/>
    <w:rsid w:val="00193247"/>
    <w:rsid w:val="00194047"/>
    <w:rsid w:val="001A41C7"/>
    <w:rsid w:val="001A5D58"/>
    <w:rsid w:val="001B4F64"/>
    <w:rsid w:val="001B650F"/>
    <w:rsid w:val="001C1209"/>
    <w:rsid w:val="001C501D"/>
    <w:rsid w:val="001C5F13"/>
    <w:rsid w:val="001C7538"/>
    <w:rsid w:val="001D0B3C"/>
    <w:rsid w:val="001E03D9"/>
    <w:rsid w:val="001E34A6"/>
    <w:rsid w:val="001E7349"/>
    <w:rsid w:val="001F1129"/>
    <w:rsid w:val="001F1A48"/>
    <w:rsid w:val="001F44D1"/>
    <w:rsid w:val="001F5A63"/>
    <w:rsid w:val="001F7EBE"/>
    <w:rsid w:val="00203663"/>
    <w:rsid w:val="00203941"/>
    <w:rsid w:val="00216818"/>
    <w:rsid w:val="00216925"/>
    <w:rsid w:val="00222BEF"/>
    <w:rsid w:val="002261C7"/>
    <w:rsid w:val="00242950"/>
    <w:rsid w:val="002519B8"/>
    <w:rsid w:val="00252870"/>
    <w:rsid w:val="0025480C"/>
    <w:rsid w:val="00255804"/>
    <w:rsid w:val="002606CE"/>
    <w:rsid w:val="00260A4B"/>
    <w:rsid w:val="00266A05"/>
    <w:rsid w:val="002712A1"/>
    <w:rsid w:val="00271F92"/>
    <w:rsid w:val="00272918"/>
    <w:rsid w:val="002732E8"/>
    <w:rsid w:val="002739E6"/>
    <w:rsid w:val="00274AF1"/>
    <w:rsid w:val="00276199"/>
    <w:rsid w:val="0028144A"/>
    <w:rsid w:val="00293163"/>
    <w:rsid w:val="00295FFC"/>
    <w:rsid w:val="00296CF0"/>
    <w:rsid w:val="002A0953"/>
    <w:rsid w:val="002A68C5"/>
    <w:rsid w:val="002B2D2C"/>
    <w:rsid w:val="002B5212"/>
    <w:rsid w:val="002B6E92"/>
    <w:rsid w:val="002C7984"/>
    <w:rsid w:val="002D0335"/>
    <w:rsid w:val="002D2090"/>
    <w:rsid w:val="002D415B"/>
    <w:rsid w:val="002D44F0"/>
    <w:rsid w:val="002D4A17"/>
    <w:rsid w:val="002E2E4F"/>
    <w:rsid w:val="002E2EC7"/>
    <w:rsid w:val="002E3A75"/>
    <w:rsid w:val="002E6FE6"/>
    <w:rsid w:val="002F2478"/>
    <w:rsid w:val="002F6675"/>
    <w:rsid w:val="00301F70"/>
    <w:rsid w:val="00304FB6"/>
    <w:rsid w:val="003057EE"/>
    <w:rsid w:val="00307C27"/>
    <w:rsid w:val="003113D5"/>
    <w:rsid w:val="00320188"/>
    <w:rsid w:val="003207F5"/>
    <w:rsid w:val="00322657"/>
    <w:rsid w:val="00322A4A"/>
    <w:rsid w:val="00324037"/>
    <w:rsid w:val="0033082D"/>
    <w:rsid w:val="003314E1"/>
    <w:rsid w:val="0033264F"/>
    <w:rsid w:val="00333AA0"/>
    <w:rsid w:val="003401D2"/>
    <w:rsid w:val="00340BC1"/>
    <w:rsid w:val="003432F9"/>
    <w:rsid w:val="003441A5"/>
    <w:rsid w:val="00344A20"/>
    <w:rsid w:val="003510B9"/>
    <w:rsid w:val="003575FC"/>
    <w:rsid w:val="00360003"/>
    <w:rsid w:val="00366DDA"/>
    <w:rsid w:val="003806CE"/>
    <w:rsid w:val="0038234A"/>
    <w:rsid w:val="00383290"/>
    <w:rsid w:val="0038694E"/>
    <w:rsid w:val="0038787F"/>
    <w:rsid w:val="0039297F"/>
    <w:rsid w:val="003940F9"/>
    <w:rsid w:val="0039534E"/>
    <w:rsid w:val="003956C9"/>
    <w:rsid w:val="00396C77"/>
    <w:rsid w:val="003B0DD7"/>
    <w:rsid w:val="003C3C29"/>
    <w:rsid w:val="003C4EE5"/>
    <w:rsid w:val="003C67A2"/>
    <w:rsid w:val="003D412E"/>
    <w:rsid w:val="003E030C"/>
    <w:rsid w:val="003E4A8E"/>
    <w:rsid w:val="003E6897"/>
    <w:rsid w:val="003F6483"/>
    <w:rsid w:val="003F70F9"/>
    <w:rsid w:val="00405758"/>
    <w:rsid w:val="00405C1F"/>
    <w:rsid w:val="00415644"/>
    <w:rsid w:val="004157C2"/>
    <w:rsid w:val="00420B04"/>
    <w:rsid w:val="00424B6D"/>
    <w:rsid w:val="0042607D"/>
    <w:rsid w:val="0043672C"/>
    <w:rsid w:val="00444E9F"/>
    <w:rsid w:val="00446C62"/>
    <w:rsid w:val="00447243"/>
    <w:rsid w:val="00447276"/>
    <w:rsid w:val="0045280D"/>
    <w:rsid w:val="004529B3"/>
    <w:rsid w:val="004579CB"/>
    <w:rsid w:val="004646EA"/>
    <w:rsid w:val="00465487"/>
    <w:rsid w:val="00472CCB"/>
    <w:rsid w:val="00480DC4"/>
    <w:rsid w:val="0048311C"/>
    <w:rsid w:val="004844BC"/>
    <w:rsid w:val="00491590"/>
    <w:rsid w:val="00497BFA"/>
    <w:rsid w:val="004B5B9F"/>
    <w:rsid w:val="004B6F83"/>
    <w:rsid w:val="004C1798"/>
    <w:rsid w:val="004C24A4"/>
    <w:rsid w:val="004C2684"/>
    <w:rsid w:val="004C5589"/>
    <w:rsid w:val="004E38D2"/>
    <w:rsid w:val="004E3D81"/>
    <w:rsid w:val="004E5CE7"/>
    <w:rsid w:val="004F0A86"/>
    <w:rsid w:val="004F22AC"/>
    <w:rsid w:val="004F74B8"/>
    <w:rsid w:val="00501CEB"/>
    <w:rsid w:val="00502414"/>
    <w:rsid w:val="00507A39"/>
    <w:rsid w:val="00507AE4"/>
    <w:rsid w:val="00511A35"/>
    <w:rsid w:val="00513D75"/>
    <w:rsid w:val="0051496A"/>
    <w:rsid w:val="0052085E"/>
    <w:rsid w:val="00527995"/>
    <w:rsid w:val="00540A40"/>
    <w:rsid w:val="0054200C"/>
    <w:rsid w:val="00545C6B"/>
    <w:rsid w:val="00555E22"/>
    <w:rsid w:val="005574A2"/>
    <w:rsid w:val="005624F3"/>
    <w:rsid w:val="0057576E"/>
    <w:rsid w:val="0057619D"/>
    <w:rsid w:val="00581D60"/>
    <w:rsid w:val="00586055"/>
    <w:rsid w:val="005902F4"/>
    <w:rsid w:val="005945A0"/>
    <w:rsid w:val="00597D97"/>
    <w:rsid w:val="005A1939"/>
    <w:rsid w:val="005A7A6F"/>
    <w:rsid w:val="005B1DD8"/>
    <w:rsid w:val="005B3440"/>
    <w:rsid w:val="005B4AEA"/>
    <w:rsid w:val="005C02F0"/>
    <w:rsid w:val="005C1306"/>
    <w:rsid w:val="005C51C1"/>
    <w:rsid w:val="005C7A98"/>
    <w:rsid w:val="005D3518"/>
    <w:rsid w:val="005E139C"/>
    <w:rsid w:val="005E6B6A"/>
    <w:rsid w:val="005F0D58"/>
    <w:rsid w:val="005F1EFF"/>
    <w:rsid w:val="005F52B8"/>
    <w:rsid w:val="005F5EF7"/>
    <w:rsid w:val="00603CD5"/>
    <w:rsid w:val="006110B8"/>
    <w:rsid w:val="00612136"/>
    <w:rsid w:val="00620621"/>
    <w:rsid w:val="00621CB1"/>
    <w:rsid w:val="006225CD"/>
    <w:rsid w:val="006246D4"/>
    <w:rsid w:val="006248E4"/>
    <w:rsid w:val="00627488"/>
    <w:rsid w:val="00634292"/>
    <w:rsid w:val="006375DC"/>
    <w:rsid w:val="00637C20"/>
    <w:rsid w:val="006434DB"/>
    <w:rsid w:val="006437AC"/>
    <w:rsid w:val="00646FE2"/>
    <w:rsid w:val="00651110"/>
    <w:rsid w:val="006528AD"/>
    <w:rsid w:val="00652B02"/>
    <w:rsid w:val="006613FD"/>
    <w:rsid w:val="00661675"/>
    <w:rsid w:val="00666B0A"/>
    <w:rsid w:val="00671843"/>
    <w:rsid w:val="00671881"/>
    <w:rsid w:val="0067305D"/>
    <w:rsid w:val="006732E3"/>
    <w:rsid w:val="006769CD"/>
    <w:rsid w:val="006818C7"/>
    <w:rsid w:val="00687CFA"/>
    <w:rsid w:val="0069165E"/>
    <w:rsid w:val="006A01B1"/>
    <w:rsid w:val="006A0AF1"/>
    <w:rsid w:val="006A3C32"/>
    <w:rsid w:val="006A5C9C"/>
    <w:rsid w:val="006B0DA2"/>
    <w:rsid w:val="006B6079"/>
    <w:rsid w:val="006B7E6E"/>
    <w:rsid w:val="006C4077"/>
    <w:rsid w:val="006C733A"/>
    <w:rsid w:val="006D1D89"/>
    <w:rsid w:val="006D2194"/>
    <w:rsid w:val="006D2C71"/>
    <w:rsid w:val="006D3D0E"/>
    <w:rsid w:val="006E7409"/>
    <w:rsid w:val="006F1062"/>
    <w:rsid w:val="006F387A"/>
    <w:rsid w:val="006F4C08"/>
    <w:rsid w:val="006F5C9B"/>
    <w:rsid w:val="00705496"/>
    <w:rsid w:val="00710273"/>
    <w:rsid w:val="00710286"/>
    <w:rsid w:val="00720983"/>
    <w:rsid w:val="00723ED1"/>
    <w:rsid w:val="00725F6C"/>
    <w:rsid w:val="0073132B"/>
    <w:rsid w:val="00731C83"/>
    <w:rsid w:val="007351FA"/>
    <w:rsid w:val="0074090B"/>
    <w:rsid w:val="0074638B"/>
    <w:rsid w:val="00746764"/>
    <w:rsid w:val="00746DBE"/>
    <w:rsid w:val="00752807"/>
    <w:rsid w:val="00752AC9"/>
    <w:rsid w:val="007536D2"/>
    <w:rsid w:val="0075605E"/>
    <w:rsid w:val="00756705"/>
    <w:rsid w:val="00761B76"/>
    <w:rsid w:val="007665A0"/>
    <w:rsid w:val="00767575"/>
    <w:rsid w:val="00783E8E"/>
    <w:rsid w:val="00785653"/>
    <w:rsid w:val="00792A21"/>
    <w:rsid w:val="00796D28"/>
    <w:rsid w:val="007A2087"/>
    <w:rsid w:val="007A70CC"/>
    <w:rsid w:val="007C1B54"/>
    <w:rsid w:val="007C2103"/>
    <w:rsid w:val="007C23CE"/>
    <w:rsid w:val="007C34FF"/>
    <w:rsid w:val="007C5580"/>
    <w:rsid w:val="007D1101"/>
    <w:rsid w:val="007D169D"/>
    <w:rsid w:val="007D3818"/>
    <w:rsid w:val="007D3A67"/>
    <w:rsid w:val="007E4B22"/>
    <w:rsid w:val="007F3AD4"/>
    <w:rsid w:val="007F7B92"/>
    <w:rsid w:val="007F7E30"/>
    <w:rsid w:val="007F7E3D"/>
    <w:rsid w:val="0080229A"/>
    <w:rsid w:val="00802583"/>
    <w:rsid w:val="008131EC"/>
    <w:rsid w:val="00813F94"/>
    <w:rsid w:val="00815B2D"/>
    <w:rsid w:val="00827CF6"/>
    <w:rsid w:val="00836FA3"/>
    <w:rsid w:val="0084159F"/>
    <w:rsid w:val="00841BF3"/>
    <w:rsid w:val="00845C97"/>
    <w:rsid w:val="0084748C"/>
    <w:rsid w:val="008514B8"/>
    <w:rsid w:val="00856380"/>
    <w:rsid w:val="008574F1"/>
    <w:rsid w:val="008606DA"/>
    <w:rsid w:val="00865B9C"/>
    <w:rsid w:val="00866573"/>
    <w:rsid w:val="00871425"/>
    <w:rsid w:val="0087447F"/>
    <w:rsid w:val="00875F07"/>
    <w:rsid w:val="00877777"/>
    <w:rsid w:val="008779F6"/>
    <w:rsid w:val="00881893"/>
    <w:rsid w:val="0088311B"/>
    <w:rsid w:val="00885744"/>
    <w:rsid w:val="00886C0F"/>
    <w:rsid w:val="0089088A"/>
    <w:rsid w:val="008909C8"/>
    <w:rsid w:val="00890BE2"/>
    <w:rsid w:val="00891F87"/>
    <w:rsid w:val="00895407"/>
    <w:rsid w:val="00895EFC"/>
    <w:rsid w:val="00896C18"/>
    <w:rsid w:val="008A0086"/>
    <w:rsid w:val="008A4439"/>
    <w:rsid w:val="008B4C77"/>
    <w:rsid w:val="008B7767"/>
    <w:rsid w:val="008C5CFD"/>
    <w:rsid w:val="008C60AF"/>
    <w:rsid w:val="008E4825"/>
    <w:rsid w:val="0090254B"/>
    <w:rsid w:val="00903E44"/>
    <w:rsid w:val="009071B1"/>
    <w:rsid w:val="0091197E"/>
    <w:rsid w:val="00913187"/>
    <w:rsid w:val="00913882"/>
    <w:rsid w:val="00915745"/>
    <w:rsid w:val="00915F0F"/>
    <w:rsid w:val="00920F6F"/>
    <w:rsid w:val="009321B1"/>
    <w:rsid w:val="00933E5A"/>
    <w:rsid w:val="00933FE5"/>
    <w:rsid w:val="009371D6"/>
    <w:rsid w:val="00937A47"/>
    <w:rsid w:val="00943D24"/>
    <w:rsid w:val="0094763C"/>
    <w:rsid w:val="00953CDF"/>
    <w:rsid w:val="00955388"/>
    <w:rsid w:val="00956E91"/>
    <w:rsid w:val="009571DE"/>
    <w:rsid w:val="00960127"/>
    <w:rsid w:val="00960FBB"/>
    <w:rsid w:val="009648F9"/>
    <w:rsid w:val="00967F0D"/>
    <w:rsid w:val="0097462C"/>
    <w:rsid w:val="00981D54"/>
    <w:rsid w:val="00987DC8"/>
    <w:rsid w:val="009910F8"/>
    <w:rsid w:val="009957CB"/>
    <w:rsid w:val="009957F2"/>
    <w:rsid w:val="00995C01"/>
    <w:rsid w:val="0099610A"/>
    <w:rsid w:val="0099726D"/>
    <w:rsid w:val="009974C3"/>
    <w:rsid w:val="009A4EA3"/>
    <w:rsid w:val="009B2A6E"/>
    <w:rsid w:val="009B31F5"/>
    <w:rsid w:val="009C2503"/>
    <w:rsid w:val="009D00CF"/>
    <w:rsid w:val="009D1A3F"/>
    <w:rsid w:val="009D57D4"/>
    <w:rsid w:val="009E15DB"/>
    <w:rsid w:val="009E23CB"/>
    <w:rsid w:val="009E4332"/>
    <w:rsid w:val="009E4F3E"/>
    <w:rsid w:val="009E7092"/>
    <w:rsid w:val="009F2B7A"/>
    <w:rsid w:val="009F31A0"/>
    <w:rsid w:val="009F372E"/>
    <w:rsid w:val="009F3CB3"/>
    <w:rsid w:val="009F6935"/>
    <w:rsid w:val="00A00FBC"/>
    <w:rsid w:val="00A036F3"/>
    <w:rsid w:val="00A10156"/>
    <w:rsid w:val="00A14009"/>
    <w:rsid w:val="00A1572C"/>
    <w:rsid w:val="00A1597D"/>
    <w:rsid w:val="00A17577"/>
    <w:rsid w:val="00A17D3F"/>
    <w:rsid w:val="00A20A18"/>
    <w:rsid w:val="00A2628B"/>
    <w:rsid w:val="00A3249A"/>
    <w:rsid w:val="00A36A17"/>
    <w:rsid w:val="00A5039D"/>
    <w:rsid w:val="00A5233B"/>
    <w:rsid w:val="00A525AA"/>
    <w:rsid w:val="00A5267E"/>
    <w:rsid w:val="00A54AD9"/>
    <w:rsid w:val="00A55706"/>
    <w:rsid w:val="00A6167C"/>
    <w:rsid w:val="00A63882"/>
    <w:rsid w:val="00A70A37"/>
    <w:rsid w:val="00A75AB0"/>
    <w:rsid w:val="00A82824"/>
    <w:rsid w:val="00A91BF5"/>
    <w:rsid w:val="00A92167"/>
    <w:rsid w:val="00A9312E"/>
    <w:rsid w:val="00A9351C"/>
    <w:rsid w:val="00A9528B"/>
    <w:rsid w:val="00A961CD"/>
    <w:rsid w:val="00AB1FC9"/>
    <w:rsid w:val="00AB6BFE"/>
    <w:rsid w:val="00AB71B5"/>
    <w:rsid w:val="00AC0C10"/>
    <w:rsid w:val="00AC115C"/>
    <w:rsid w:val="00AD1103"/>
    <w:rsid w:val="00AD1801"/>
    <w:rsid w:val="00AD25BA"/>
    <w:rsid w:val="00AD4509"/>
    <w:rsid w:val="00AE4436"/>
    <w:rsid w:val="00AF05D8"/>
    <w:rsid w:val="00AF73F3"/>
    <w:rsid w:val="00B000B5"/>
    <w:rsid w:val="00B006C8"/>
    <w:rsid w:val="00B0146C"/>
    <w:rsid w:val="00B014F1"/>
    <w:rsid w:val="00B06AC3"/>
    <w:rsid w:val="00B10A27"/>
    <w:rsid w:val="00B10B6C"/>
    <w:rsid w:val="00B1434D"/>
    <w:rsid w:val="00B20CFC"/>
    <w:rsid w:val="00B26087"/>
    <w:rsid w:val="00B36094"/>
    <w:rsid w:val="00B474B2"/>
    <w:rsid w:val="00B47995"/>
    <w:rsid w:val="00B6242A"/>
    <w:rsid w:val="00B62549"/>
    <w:rsid w:val="00B6470D"/>
    <w:rsid w:val="00B64900"/>
    <w:rsid w:val="00B64996"/>
    <w:rsid w:val="00B6553E"/>
    <w:rsid w:val="00B72903"/>
    <w:rsid w:val="00B7306C"/>
    <w:rsid w:val="00B83929"/>
    <w:rsid w:val="00B84801"/>
    <w:rsid w:val="00B84DF6"/>
    <w:rsid w:val="00B92C31"/>
    <w:rsid w:val="00BA3DBB"/>
    <w:rsid w:val="00BA6026"/>
    <w:rsid w:val="00BB08CB"/>
    <w:rsid w:val="00BB0CB6"/>
    <w:rsid w:val="00BB11A6"/>
    <w:rsid w:val="00BB1790"/>
    <w:rsid w:val="00BC24CA"/>
    <w:rsid w:val="00BC2CC1"/>
    <w:rsid w:val="00BC700A"/>
    <w:rsid w:val="00BD3713"/>
    <w:rsid w:val="00BD3D7B"/>
    <w:rsid w:val="00BE7357"/>
    <w:rsid w:val="00BF27A8"/>
    <w:rsid w:val="00BF6963"/>
    <w:rsid w:val="00C00703"/>
    <w:rsid w:val="00C073CF"/>
    <w:rsid w:val="00C114ED"/>
    <w:rsid w:val="00C12A81"/>
    <w:rsid w:val="00C138EA"/>
    <w:rsid w:val="00C17976"/>
    <w:rsid w:val="00C20A66"/>
    <w:rsid w:val="00C22679"/>
    <w:rsid w:val="00C279AC"/>
    <w:rsid w:val="00C31844"/>
    <w:rsid w:val="00C32878"/>
    <w:rsid w:val="00C40571"/>
    <w:rsid w:val="00C42340"/>
    <w:rsid w:val="00C43C2F"/>
    <w:rsid w:val="00C45332"/>
    <w:rsid w:val="00C46E0C"/>
    <w:rsid w:val="00C5458B"/>
    <w:rsid w:val="00C569A7"/>
    <w:rsid w:val="00C63F74"/>
    <w:rsid w:val="00C64C70"/>
    <w:rsid w:val="00C65E33"/>
    <w:rsid w:val="00C74203"/>
    <w:rsid w:val="00C746EC"/>
    <w:rsid w:val="00C81A60"/>
    <w:rsid w:val="00C879A3"/>
    <w:rsid w:val="00C95739"/>
    <w:rsid w:val="00C96098"/>
    <w:rsid w:val="00CA2DD9"/>
    <w:rsid w:val="00CB6B7A"/>
    <w:rsid w:val="00CB6BFA"/>
    <w:rsid w:val="00CC0FE0"/>
    <w:rsid w:val="00CC5099"/>
    <w:rsid w:val="00CC5E53"/>
    <w:rsid w:val="00CC62E2"/>
    <w:rsid w:val="00CD262D"/>
    <w:rsid w:val="00CD3134"/>
    <w:rsid w:val="00CD4082"/>
    <w:rsid w:val="00CE1769"/>
    <w:rsid w:val="00CE39B5"/>
    <w:rsid w:val="00CE4ED7"/>
    <w:rsid w:val="00CE6430"/>
    <w:rsid w:val="00CF1CAA"/>
    <w:rsid w:val="00CF1F17"/>
    <w:rsid w:val="00CF2E5F"/>
    <w:rsid w:val="00CF36B3"/>
    <w:rsid w:val="00CF7EDF"/>
    <w:rsid w:val="00D02B51"/>
    <w:rsid w:val="00D07A24"/>
    <w:rsid w:val="00D10F22"/>
    <w:rsid w:val="00D15733"/>
    <w:rsid w:val="00D20466"/>
    <w:rsid w:val="00D21BD0"/>
    <w:rsid w:val="00D24ADC"/>
    <w:rsid w:val="00D26C29"/>
    <w:rsid w:val="00D274E1"/>
    <w:rsid w:val="00D2784A"/>
    <w:rsid w:val="00D3767E"/>
    <w:rsid w:val="00D40247"/>
    <w:rsid w:val="00D428AE"/>
    <w:rsid w:val="00D446D2"/>
    <w:rsid w:val="00D5788C"/>
    <w:rsid w:val="00D60B5F"/>
    <w:rsid w:val="00D64679"/>
    <w:rsid w:val="00D65F12"/>
    <w:rsid w:val="00D67F5A"/>
    <w:rsid w:val="00D71ABA"/>
    <w:rsid w:val="00D74924"/>
    <w:rsid w:val="00D75470"/>
    <w:rsid w:val="00D8077E"/>
    <w:rsid w:val="00D820B3"/>
    <w:rsid w:val="00D853A8"/>
    <w:rsid w:val="00D8720E"/>
    <w:rsid w:val="00D87259"/>
    <w:rsid w:val="00DA12BD"/>
    <w:rsid w:val="00DA1E16"/>
    <w:rsid w:val="00DA7B7F"/>
    <w:rsid w:val="00DB15DA"/>
    <w:rsid w:val="00DB3D88"/>
    <w:rsid w:val="00DB40B7"/>
    <w:rsid w:val="00DB5206"/>
    <w:rsid w:val="00DC0244"/>
    <w:rsid w:val="00DC2100"/>
    <w:rsid w:val="00DC779F"/>
    <w:rsid w:val="00DC7FFD"/>
    <w:rsid w:val="00DD3766"/>
    <w:rsid w:val="00DD3D0F"/>
    <w:rsid w:val="00DD4F5D"/>
    <w:rsid w:val="00DE155E"/>
    <w:rsid w:val="00DE1D00"/>
    <w:rsid w:val="00DE2909"/>
    <w:rsid w:val="00DE6125"/>
    <w:rsid w:val="00DF0708"/>
    <w:rsid w:val="00DF3189"/>
    <w:rsid w:val="00DF65B5"/>
    <w:rsid w:val="00DF67B6"/>
    <w:rsid w:val="00DF6E7B"/>
    <w:rsid w:val="00DF72F3"/>
    <w:rsid w:val="00E0067D"/>
    <w:rsid w:val="00E05DBA"/>
    <w:rsid w:val="00E11FD8"/>
    <w:rsid w:val="00E1218E"/>
    <w:rsid w:val="00E12254"/>
    <w:rsid w:val="00E15765"/>
    <w:rsid w:val="00E2669C"/>
    <w:rsid w:val="00E30FBD"/>
    <w:rsid w:val="00E317FF"/>
    <w:rsid w:val="00E36B1A"/>
    <w:rsid w:val="00E40B59"/>
    <w:rsid w:val="00E4247D"/>
    <w:rsid w:val="00E43F8A"/>
    <w:rsid w:val="00E44060"/>
    <w:rsid w:val="00E50AD0"/>
    <w:rsid w:val="00E50B60"/>
    <w:rsid w:val="00E55712"/>
    <w:rsid w:val="00E55CC8"/>
    <w:rsid w:val="00E55D21"/>
    <w:rsid w:val="00E57189"/>
    <w:rsid w:val="00E577A3"/>
    <w:rsid w:val="00E63DEA"/>
    <w:rsid w:val="00E675FB"/>
    <w:rsid w:val="00E75D0D"/>
    <w:rsid w:val="00E81F6C"/>
    <w:rsid w:val="00E8286D"/>
    <w:rsid w:val="00E828E0"/>
    <w:rsid w:val="00E84CDB"/>
    <w:rsid w:val="00E86531"/>
    <w:rsid w:val="00E86E91"/>
    <w:rsid w:val="00E8723E"/>
    <w:rsid w:val="00E91B56"/>
    <w:rsid w:val="00E936B1"/>
    <w:rsid w:val="00E93DF0"/>
    <w:rsid w:val="00EA05C4"/>
    <w:rsid w:val="00EA171E"/>
    <w:rsid w:val="00EA2748"/>
    <w:rsid w:val="00EA446F"/>
    <w:rsid w:val="00EB034A"/>
    <w:rsid w:val="00EB38DF"/>
    <w:rsid w:val="00EB4542"/>
    <w:rsid w:val="00EC3EAC"/>
    <w:rsid w:val="00EC6724"/>
    <w:rsid w:val="00EE3881"/>
    <w:rsid w:val="00EE61FD"/>
    <w:rsid w:val="00EF2CF4"/>
    <w:rsid w:val="00EF4C0D"/>
    <w:rsid w:val="00EF70F3"/>
    <w:rsid w:val="00F1222D"/>
    <w:rsid w:val="00F20180"/>
    <w:rsid w:val="00F249B1"/>
    <w:rsid w:val="00F250D2"/>
    <w:rsid w:val="00F3044E"/>
    <w:rsid w:val="00F31369"/>
    <w:rsid w:val="00F32139"/>
    <w:rsid w:val="00F32860"/>
    <w:rsid w:val="00F347E0"/>
    <w:rsid w:val="00F34E78"/>
    <w:rsid w:val="00F35118"/>
    <w:rsid w:val="00F357A8"/>
    <w:rsid w:val="00F53957"/>
    <w:rsid w:val="00F56CFA"/>
    <w:rsid w:val="00F65276"/>
    <w:rsid w:val="00F66102"/>
    <w:rsid w:val="00F6629C"/>
    <w:rsid w:val="00F727F4"/>
    <w:rsid w:val="00F73FA7"/>
    <w:rsid w:val="00F75EE4"/>
    <w:rsid w:val="00F7636D"/>
    <w:rsid w:val="00F809FD"/>
    <w:rsid w:val="00F8275F"/>
    <w:rsid w:val="00F8509F"/>
    <w:rsid w:val="00F8748B"/>
    <w:rsid w:val="00FA22AE"/>
    <w:rsid w:val="00FA53DC"/>
    <w:rsid w:val="00FA7ED2"/>
    <w:rsid w:val="00FB0E2E"/>
    <w:rsid w:val="00FB4E3B"/>
    <w:rsid w:val="00FC0A9E"/>
    <w:rsid w:val="00FC1AB0"/>
    <w:rsid w:val="00FC38D4"/>
    <w:rsid w:val="00FC3BC2"/>
    <w:rsid w:val="00FC44EF"/>
    <w:rsid w:val="00FC4A1D"/>
    <w:rsid w:val="00FC65B6"/>
    <w:rsid w:val="00FC69DC"/>
    <w:rsid w:val="00FC70A4"/>
    <w:rsid w:val="00FC74D2"/>
    <w:rsid w:val="00FD135E"/>
    <w:rsid w:val="00FD168E"/>
    <w:rsid w:val="00FD3728"/>
    <w:rsid w:val="00FD3C99"/>
    <w:rsid w:val="00FD5777"/>
    <w:rsid w:val="00FD6A16"/>
    <w:rsid w:val="00FE3D6D"/>
    <w:rsid w:val="00FF3F83"/>
    <w:rsid w:val="00FF5AF2"/>
    <w:rsid w:val="00FF7580"/>
    <w:rsid w:val="00FF786D"/>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B99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2C"/>
    <w:rPr>
      <w:rFonts w:ascii="Times New Roman" w:hAnsi="Times New Roman" w:cs="Times New Roman"/>
    </w:rPr>
  </w:style>
  <w:style w:type="paragraph" w:styleId="Heading1">
    <w:name w:val="heading 1"/>
    <w:basedOn w:val="Normal"/>
    <w:next w:val="Normal"/>
    <w:link w:val="Heading1Char"/>
    <w:uiPriority w:val="9"/>
    <w:qFormat/>
    <w:rsid w:val="005624F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basedOn w:val="Normal"/>
    <w:next w:val="Normal"/>
    <w:link w:val="Heading2Char"/>
    <w:uiPriority w:val="9"/>
    <w:unhideWhenUsed/>
    <w:qFormat/>
    <w:rsid w:val="002712A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12A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290"/>
    <w:pPr>
      <w:ind w:left="720"/>
      <w:contextualSpacing/>
    </w:pPr>
    <w:rPr>
      <w:rFonts w:asciiTheme="minorHAnsi" w:hAnsiTheme="minorHAnsi" w:cstheme="minorBidi"/>
    </w:rPr>
  </w:style>
  <w:style w:type="paragraph" w:styleId="NoSpacing">
    <w:name w:val="No Spacing"/>
    <w:uiPriority w:val="1"/>
    <w:qFormat/>
    <w:rsid w:val="00890BE2"/>
    <w:rPr>
      <w:sz w:val="22"/>
      <w:szCs w:val="22"/>
      <w:lang w:val="id-ID"/>
    </w:rPr>
  </w:style>
  <w:style w:type="paragraph" w:styleId="FootnoteText">
    <w:name w:val="footnote text"/>
    <w:basedOn w:val="Normal"/>
    <w:link w:val="FootnoteTextChar"/>
    <w:uiPriority w:val="99"/>
    <w:unhideWhenUsed/>
    <w:rsid w:val="00DE1D00"/>
  </w:style>
  <w:style w:type="character" w:customStyle="1" w:styleId="FootnoteTextChar">
    <w:name w:val="Footnote Text Char"/>
    <w:basedOn w:val="DefaultParagraphFont"/>
    <w:link w:val="FootnoteText"/>
    <w:uiPriority w:val="99"/>
    <w:rsid w:val="00DE1D00"/>
    <w:rPr>
      <w:rFonts w:ascii="Times New Roman" w:hAnsi="Times New Roman" w:cs="Times New Roman"/>
    </w:rPr>
  </w:style>
  <w:style w:type="character" w:styleId="FootnoteReference">
    <w:name w:val="footnote reference"/>
    <w:basedOn w:val="DefaultParagraphFont"/>
    <w:uiPriority w:val="99"/>
    <w:unhideWhenUsed/>
    <w:rsid w:val="00DE1D00"/>
    <w:rPr>
      <w:vertAlign w:val="superscript"/>
    </w:rPr>
  </w:style>
  <w:style w:type="character" w:styleId="Hyperlink">
    <w:name w:val="Hyperlink"/>
    <w:basedOn w:val="DefaultParagraphFont"/>
    <w:uiPriority w:val="99"/>
    <w:unhideWhenUsed/>
    <w:rsid w:val="00B6242A"/>
    <w:rPr>
      <w:color w:val="0000FF"/>
      <w:u w:val="single"/>
    </w:rPr>
  </w:style>
  <w:style w:type="character" w:styleId="Emphasis">
    <w:name w:val="Emphasis"/>
    <w:basedOn w:val="DefaultParagraphFont"/>
    <w:uiPriority w:val="20"/>
    <w:qFormat/>
    <w:rsid w:val="00B6242A"/>
    <w:rPr>
      <w:i/>
      <w:iCs/>
    </w:rPr>
  </w:style>
  <w:style w:type="paragraph" w:styleId="NormalWeb">
    <w:name w:val="Normal (Web)"/>
    <w:basedOn w:val="Normal"/>
    <w:uiPriority w:val="99"/>
    <w:unhideWhenUsed/>
    <w:rsid w:val="00B6242A"/>
    <w:pPr>
      <w:spacing w:before="100" w:beforeAutospacing="1" w:after="100" w:afterAutospacing="1"/>
    </w:pPr>
  </w:style>
  <w:style w:type="character" w:customStyle="1" w:styleId="Heading1Char">
    <w:name w:val="Heading 1 Char"/>
    <w:basedOn w:val="DefaultParagraphFont"/>
    <w:link w:val="Heading1"/>
    <w:uiPriority w:val="9"/>
    <w:rsid w:val="005624F3"/>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5624F3"/>
  </w:style>
  <w:style w:type="character" w:styleId="CommentReference">
    <w:name w:val="annotation reference"/>
    <w:basedOn w:val="DefaultParagraphFont"/>
    <w:uiPriority w:val="99"/>
    <w:semiHidden/>
    <w:unhideWhenUsed/>
    <w:rsid w:val="00D5788C"/>
    <w:rPr>
      <w:sz w:val="16"/>
      <w:szCs w:val="16"/>
    </w:rPr>
  </w:style>
  <w:style w:type="paragraph" w:styleId="CommentText">
    <w:name w:val="annotation text"/>
    <w:basedOn w:val="Normal"/>
    <w:link w:val="CommentTextChar"/>
    <w:uiPriority w:val="99"/>
    <w:unhideWhenUsed/>
    <w:rsid w:val="00D5788C"/>
    <w:rPr>
      <w:sz w:val="20"/>
      <w:szCs w:val="20"/>
    </w:rPr>
  </w:style>
  <w:style w:type="character" w:customStyle="1" w:styleId="CommentTextChar">
    <w:name w:val="Comment Text Char"/>
    <w:basedOn w:val="DefaultParagraphFont"/>
    <w:link w:val="CommentText"/>
    <w:uiPriority w:val="99"/>
    <w:rsid w:val="00D578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88C"/>
    <w:rPr>
      <w:b/>
      <w:bCs/>
    </w:rPr>
  </w:style>
  <w:style w:type="character" w:customStyle="1" w:styleId="CommentSubjectChar">
    <w:name w:val="Comment Subject Char"/>
    <w:basedOn w:val="CommentTextChar"/>
    <w:link w:val="CommentSubject"/>
    <w:uiPriority w:val="99"/>
    <w:semiHidden/>
    <w:rsid w:val="00D5788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57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8C"/>
    <w:rPr>
      <w:rFonts w:ascii="Segoe UI" w:hAnsi="Segoe UI" w:cs="Segoe UI"/>
      <w:sz w:val="18"/>
      <w:szCs w:val="18"/>
    </w:rPr>
  </w:style>
  <w:style w:type="paragraph" w:styleId="Header">
    <w:name w:val="header"/>
    <w:basedOn w:val="Normal"/>
    <w:link w:val="HeaderChar"/>
    <w:uiPriority w:val="99"/>
    <w:unhideWhenUsed/>
    <w:rsid w:val="005F52B8"/>
    <w:pPr>
      <w:tabs>
        <w:tab w:val="center" w:pos="4513"/>
        <w:tab w:val="right" w:pos="9026"/>
      </w:tabs>
    </w:pPr>
  </w:style>
  <w:style w:type="character" w:customStyle="1" w:styleId="HeaderChar">
    <w:name w:val="Header Char"/>
    <w:basedOn w:val="DefaultParagraphFont"/>
    <w:link w:val="Header"/>
    <w:uiPriority w:val="99"/>
    <w:rsid w:val="005F52B8"/>
    <w:rPr>
      <w:rFonts w:ascii="Times New Roman" w:hAnsi="Times New Roman" w:cs="Times New Roman"/>
    </w:rPr>
  </w:style>
  <w:style w:type="paragraph" w:styleId="Footer">
    <w:name w:val="footer"/>
    <w:basedOn w:val="Normal"/>
    <w:link w:val="FooterChar"/>
    <w:uiPriority w:val="99"/>
    <w:unhideWhenUsed/>
    <w:rsid w:val="005F52B8"/>
    <w:pPr>
      <w:tabs>
        <w:tab w:val="center" w:pos="4513"/>
        <w:tab w:val="right" w:pos="9026"/>
      </w:tabs>
    </w:pPr>
  </w:style>
  <w:style w:type="character" w:customStyle="1" w:styleId="FooterChar">
    <w:name w:val="Footer Char"/>
    <w:basedOn w:val="DefaultParagraphFont"/>
    <w:link w:val="Footer"/>
    <w:uiPriority w:val="99"/>
    <w:rsid w:val="005F52B8"/>
    <w:rPr>
      <w:rFonts w:ascii="Times New Roman" w:hAnsi="Times New Roman" w:cs="Times New Roman"/>
    </w:rPr>
  </w:style>
  <w:style w:type="character" w:styleId="UnresolvedMention">
    <w:name w:val="Unresolved Mention"/>
    <w:basedOn w:val="DefaultParagraphFont"/>
    <w:uiPriority w:val="99"/>
    <w:semiHidden/>
    <w:unhideWhenUsed/>
    <w:rsid w:val="005F52B8"/>
    <w:rPr>
      <w:color w:val="605E5C"/>
      <w:shd w:val="clear" w:color="auto" w:fill="E1DFDD"/>
    </w:rPr>
  </w:style>
  <w:style w:type="paragraph" w:styleId="BodyText">
    <w:name w:val="Body Text"/>
    <w:basedOn w:val="Normal"/>
    <w:link w:val="BodyTextChar"/>
    <w:uiPriority w:val="1"/>
    <w:qFormat/>
    <w:rsid w:val="00340BC1"/>
    <w:pPr>
      <w:widowControl w:val="0"/>
      <w:autoSpaceDE w:val="0"/>
      <w:autoSpaceDN w:val="0"/>
      <w:ind w:left="143"/>
      <w:jc w:val="both"/>
    </w:pPr>
    <w:rPr>
      <w:rFonts w:eastAsia="Times New Roman"/>
    </w:rPr>
  </w:style>
  <w:style w:type="character" w:customStyle="1" w:styleId="BodyTextChar">
    <w:name w:val="Body Text Char"/>
    <w:basedOn w:val="DefaultParagraphFont"/>
    <w:link w:val="BodyText"/>
    <w:uiPriority w:val="1"/>
    <w:rsid w:val="00340BC1"/>
    <w:rPr>
      <w:rFonts w:ascii="Times New Roman" w:eastAsia="Times New Roman" w:hAnsi="Times New Roman" w:cs="Times New Roman"/>
    </w:rPr>
  </w:style>
  <w:style w:type="character" w:styleId="Strong">
    <w:name w:val="Strong"/>
    <w:basedOn w:val="DefaultParagraphFont"/>
    <w:uiPriority w:val="22"/>
    <w:qFormat/>
    <w:rsid w:val="00340BC1"/>
    <w:rPr>
      <w:b/>
      <w:bCs/>
    </w:rPr>
  </w:style>
  <w:style w:type="paragraph" w:styleId="Title">
    <w:name w:val="Title"/>
    <w:basedOn w:val="Normal"/>
    <w:link w:val="TitleChar"/>
    <w:uiPriority w:val="10"/>
    <w:qFormat/>
    <w:rsid w:val="00F249B1"/>
    <w:pPr>
      <w:widowControl w:val="0"/>
      <w:autoSpaceDE w:val="0"/>
      <w:autoSpaceDN w:val="0"/>
      <w:spacing w:before="100"/>
      <w:ind w:left="741" w:right="236"/>
      <w:jc w:val="center"/>
    </w:pPr>
    <w:rPr>
      <w:rFonts w:ascii="Cambria" w:eastAsia="Cambria" w:hAnsi="Cambria" w:cs="Cambria"/>
      <w:b/>
      <w:bCs/>
      <w:sz w:val="26"/>
      <w:szCs w:val="26"/>
      <w:lang w:val="id"/>
    </w:rPr>
  </w:style>
  <w:style w:type="character" w:customStyle="1" w:styleId="TitleChar">
    <w:name w:val="Title Char"/>
    <w:basedOn w:val="DefaultParagraphFont"/>
    <w:link w:val="Title"/>
    <w:uiPriority w:val="10"/>
    <w:rsid w:val="00F249B1"/>
    <w:rPr>
      <w:rFonts w:ascii="Cambria" w:eastAsia="Cambria" w:hAnsi="Cambria" w:cs="Cambria"/>
      <w:b/>
      <w:bCs/>
      <w:sz w:val="26"/>
      <w:szCs w:val="26"/>
      <w:lang w:val="id"/>
    </w:rPr>
  </w:style>
  <w:style w:type="paragraph" w:customStyle="1" w:styleId="TableParagraph">
    <w:name w:val="Table Paragraph"/>
    <w:basedOn w:val="Normal"/>
    <w:uiPriority w:val="1"/>
    <w:qFormat/>
    <w:rsid w:val="00F249B1"/>
    <w:pPr>
      <w:widowControl w:val="0"/>
      <w:autoSpaceDE w:val="0"/>
      <w:autoSpaceDN w:val="0"/>
      <w:spacing w:before="17"/>
      <w:jc w:val="center"/>
    </w:pPr>
    <w:rPr>
      <w:rFonts w:ascii="Calibri" w:eastAsia="Calibri" w:hAnsi="Calibri" w:cs="Calibri"/>
      <w:sz w:val="22"/>
      <w:szCs w:val="22"/>
      <w:lang w:val="id"/>
    </w:rPr>
  </w:style>
  <w:style w:type="character" w:customStyle="1" w:styleId="UnresolvedMention1">
    <w:name w:val="Unresolved Mention1"/>
    <w:basedOn w:val="DefaultParagraphFont"/>
    <w:uiPriority w:val="99"/>
    <w:semiHidden/>
    <w:unhideWhenUsed/>
    <w:rsid w:val="00F249B1"/>
    <w:rPr>
      <w:color w:val="605E5C"/>
      <w:shd w:val="clear" w:color="auto" w:fill="E1DFDD"/>
    </w:rPr>
  </w:style>
  <w:style w:type="paragraph" w:customStyle="1" w:styleId="msonormal0">
    <w:name w:val="msonormal"/>
    <w:basedOn w:val="Normal"/>
    <w:rsid w:val="00F249B1"/>
    <w:pPr>
      <w:spacing w:before="100" w:beforeAutospacing="1" w:after="100" w:afterAutospacing="1"/>
    </w:pPr>
    <w:rPr>
      <w:rFonts w:eastAsia="Times New Roman"/>
      <w:lang w:val="en-ID" w:eastAsia="en-ID"/>
    </w:rPr>
  </w:style>
  <w:style w:type="character" w:customStyle="1" w:styleId="apple-tab-span">
    <w:name w:val="apple-tab-span"/>
    <w:basedOn w:val="DefaultParagraphFont"/>
    <w:rsid w:val="00F249B1"/>
  </w:style>
  <w:style w:type="paragraph" w:customStyle="1" w:styleId="BasicParagraph">
    <w:name w:val="[Basic Paragraph]"/>
    <w:basedOn w:val="Normal"/>
    <w:link w:val="BasicParagraphChar"/>
    <w:uiPriority w:val="99"/>
    <w:rsid w:val="00DB15DA"/>
    <w:pPr>
      <w:autoSpaceDE w:val="0"/>
      <w:autoSpaceDN w:val="0"/>
      <w:adjustRightInd w:val="0"/>
      <w:spacing w:line="288" w:lineRule="auto"/>
      <w:textAlignment w:val="center"/>
    </w:pPr>
    <w:rPr>
      <w:rFonts w:eastAsia="Calibri"/>
      <w:color w:val="000000"/>
    </w:rPr>
  </w:style>
  <w:style w:type="character" w:customStyle="1" w:styleId="BasicParagraphChar">
    <w:name w:val="[Basic Paragraph] Char"/>
    <w:basedOn w:val="DefaultParagraphFont"/>
    <w:link w:val="BasicParagraph"/>
    <w:uiPriority w:val="99"/>
    <w:rsid w:val="00DB15DA"/>
    <w:rPr>
      <w:rFonts w:ascii="Times New Roman" w:eastAsia="Calibri" w:hAnsi="Times New Roman" w:cs="Times New Roman"/>
      <w:color w:val="000000"/>
    </w:rPr>
  </w:style>
  <w:style w:type="character" w:customStyle="1" w:styleId="None">
    <w:name w:val="None"/>
    <w:rsid w:val="00DB15DA"/>
  </w:style>
  <w:style w:type="character" w:customStyle="1" w:styleId="Heading2Char">
    <w:name w:val="Heading 2 Char"/>
    <w:basedOn w:val="DefaultParagraphFont"/>
    <w:link w:val="Heading2"/>
    <w:uiPriority w:val="9"/>
    <w:rsid w:val="002712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712A1"/>
    <w:rPr>
      <w:rFonts w:asciiTheme="majorHAnsi" w:eastAsiaTheme="majorEastAsia" w:hAnsiTheme="majorHAnsi" w:cstheme="majorBidi"/>
      <w:color w:val="1F4D78" w:themeColor="accent1" w:themeShade="7F"/>
    </w:rPr>
  </w:style>
  <w:style w:type="table" w:styleId="LightList-Accent1">
    <w:name w:val="Light List Accent 1"/>
    <w:basedOn w:val="TableNormal"/>
    <w:uiPriority w:val="61"/>
    <w:rsid w:val="001E7349"/>
    <w:rPr>
      <w:rFonts w:eastAsiaTheme="minorEastAsia"/>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2">
    <w:name w:val="Plain Table 2"/>
    <w:basedOn w:val="TableNormal"/>
    <w:uiPriority w:val="42"/>
    <w:rsid w:val="00895EFC"/>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539">
      <w:bodyDiv w:val="1"/>
      <w:marLeft w:val="0"/>
      <w:marRight w:val="0"/>
      <w:marTop w:val="0"/>
      <w:marBottom w:val="0"/>
      <w:divBdr>
        <w:top w:val="none" w:sz="0" w:space="0" w:color="auto"/>
        <w:left w:val="none" w:sz="0" w:space="0" w:color="auto"/>
        <w:bottom w:val="none" w:sz="0" w:space="0" w:color="auto"/>
        <w:right w:val="none" w:sz="0" w:space="0" w:color="auto"/>
      </w:divBdr>
    </w:div>
    <w:div w:id="79060821">
      <w:bodyDiv w:val="1"/>
      <w:marLeft w:val="0"/>
      <w:marRight w:val="0"/>
      <w:marTop w:val="0"/>
      <w:marBottom w:val="0"/>
      <w:divBdr>
        <w:top w:val="none" w:sz="0" w:space="0" w:color="auto"/>
        <w:left w:val="none" w:sz="0" w:space="0" w:color="auto"/>
        <w:bottom w:val="none" w:sz="0" w:space="0" w:color="auto"/>
        <w:right w:val="none" w:sz="0" w:space="0" w:color="auto"/>
      </w:divBdr>
    </w:div>
    <w:div w:id="88814433">
      <w:bodyDiv w:val="1"/>
      <w:marLeft w:val="0"/>
      <w:marRight w:val="0"/>
      <w:marTop w:val="0"/>
      <w:marBottom w:val="0"/>
      <w:divBdr>
        <w:top w:val="none" w:sz="0" w:space="0" w:color="auto"/>
        <w:left w:val="none" w:sz="0" w:space="0" w:color="auto"/>
        <w:bottom w:val="none" w:sz="0" w:space="0" w:color="auto"/>
        <w:right w:val="none" w:sz="0" w:space="0" w:color="auto"/>
      </w:divBdr>
    </w:div>
    <w:div w:id="108622191">
      <w:bodyDiv w:val="1"/>
      <w:marLeft w:val="0"/>
      <w:marRight w:val="0"/>
      <w:marTop w:val="0"/>
      <w:marBottom w:val="0"/>
      <w:divBdr>
        <w:top w:val="none" w:sz="0" w:space="0" w:color="auto"/>
        <w:left w:val="none" w:sz="0" w:space="0" w:color="auto"/>
        <w:bottom w:val="none" w:sz="0" w:space="0" w:color="auto"/>
        <w:right w:val="none" w:sz="0" w:space="0" w:color="auto"/>
      </w:divBdr>
    </w:div>
    <w:div w:id="146098984">
      <w:bodyDiv w:val="1"/>
      <w:marLeft w:val="0"/>
      <w:marRight w:val="0"/>
      <w:marTop w:val="0"/>
      <w:marBottom w:val="0"/>
      <w:divBdr>
        <w:top w:val="none" w:sz="0" w:space="0" w:color="auto"/>
        <w:left w:val="none" w:sz="0" w:space="0" w:color="auto"/>
        <w:bottom w:val="none" w:sz="0" w:space="0" w:color="auto"/>
        <w:right w:val="none" w:sz="0" w:space="0" w:color="auto"/>
      </w:divBdr>
      <w:divsChild>
        <w:div w:id="236791524">
          <w:marLeft w:val="547"/>
          <w:marRight w:val="0"/>
          <w:marTop w:val="86"/>
          <w:marBottom w:val="0"/>
          <w:divBdr>
            <w:top w:val="none" w:sz="0" w:space="0" w:color="auto"/>
            <w:left w:val="none" w:sz="0" w:space="0" w:color="auto"/>
            <w:bottom w:val="none" w:sz="0" w:space="0" w:color="auto"/>
            <w:right w:val="none" w:sz="0" w:space="0" w:color="auto"/>
          </w:divBdr>
        </w:div>
        <w:div w:id="2001275113">
          <w:marLeft w:val="547"/>
          <w:marRight w:val="0"/>
          <w:marTop w:val="86"/>
          <w:marBottom w:val="0"/>
          <w:divBdr>
            <w:top w:val="none" w:sz="0" w:space="0" w:color="auto"/>
            <w:left w:val="none" w:sz="0" w:space="0" w:color="auto"/>
            <w:bottom w:val="none" w:sz="0" w:space="0" w:color="auto"/>
            <w:right w:val="none" w:sz="0" w:space="0" w:color="auto"/>
          </w:divBdr>
        </w:div>
        <w:div w:id="867062636">
          <w:marLeft w:val="547"/>
          <w:marRight w:val="0"/>
          <w:marTop w:val="86"/>
          <w:marBottom w:val="0"/>
          <w:divBdr>
            <w:top w:val="none" w:sz="0" w:space="0" w:color="auto"/>
            <w:left w:val="none" w:sz="0" w:space="0" w:color="auto"/>
            <w:bottom w:val="none" w:sz="0" w:space="0" w:color="auto"/>
            <w:right w:val="none" w:sz="0" w:space="0" w:color="auto"/>
          </w:divBdr>
        </w:div>
        <w:div w:id="1342510632">
          <w:marLeft w:val="547"/>
          <w:marRight w:val="0"/>
          <w:marTop w:val="86"/>
          <w:marBottom w:val="0"/>
          <w:divBdr>
            <w:top w:val="none" w:sz="0" w:space="0" w:color="auto"/>
            <w:left w:val="none" w:sz="0" w:space="0" w:color="auto"/>
            <w:bottom w:val="none" w:sz="0" w:space="0" w:color="auto"/>
            <w:right w:val="none" w:sz="0" w:space="0" w:color="auto"/>
          </w:divBdr>
        </w:div>
      </w:divsChild>
    </w:div>
    <w:div w:id="173034055">
      <w:bodyDiv w:val="1"/>
      <w:marLeft w:val="0"/>
      <w:marRight w:val="0"/>
      <w:marTop w:val="0"/>
      <w:marBottom w:val="0"/>
      <w:divBdr>
        <w:top w:val="none" w:sz="0" w:space="0" w:color="auto"/>
        <w:left w:val="none" w:sz="0" w:space="0" w:color="auto"/>
        <w:bottom w:val="none" w:sz="0" w:space="0" w:color="auto"/>
        <w:right w:val="none" w:sz="0" w:space="0" w:color="auto"/>
      </w:divBdr>
    </w:div>
    <w:div w:id="191041685">
      <w:bodyDiv w:val="1"/>
      <w:marLeft w:val="0"/>
      <w:marRight w:val="0"/>
      <w:marTop w:val="0"/>
      <w:marBottom w:val="0"/>
      <w:divBdr>
        <w:top w:val="none" w:sz="0" w:space="0" w:color="auto"/>
        <w:left w:val="none" w:sz="0" w:space="0" w:color="auto"/>
        <w:bottom w:val="none" w:sz="0" w:space="0" w:color="auto"/>
        <w:right w:val="none" w:sz="0" w:space="0" w:color="auto"/>
      </w:divBdr>
    </w:div>
    <w:div w:id="210576519">
      <w:bodyDiv w:val="1"/>
      <w:marLeft w:val="0"/>
      <w:marRight w:val="0"/>
      <w:marTop w:val="0"/>
      <w:marBottom w:val="0"/>
      <w:divBdr>
        <w:top w:val="none" w:sz="0" w:space="0" w:color="auto"/>
        <w:left w:val="none" w:sz="0" w:space="0" w:color="auto"/>
        <w:bottom w:val="none" w:sz="0" w:space="0" w:color="auto"/>
        <w:right w:val="none" w:sz="0" w:space="0" w:color="auto"/>
      </w:divBdr>
    </w:div>
    <w:div w:id="264463534">
      <w:bodyDiv w:val="1"/>
      <w:marLeft w:val="0"/>
      <w:marRight w:val="0"/>
      <w:marTop w:val="0"/>
      <w:marBottom w:val="0"/>
      <w:divBdr>
        <w:top w:val="none" w:sz="0" w:space="0" w:color="auto"/>
        <w:left w:val="none" w:sz="0" w:space="0" w:color="auto"/>
        <w:bottom w:val="none" w:sz="0" w:space="0" w:color="auto"/>
        <w:right w:val="none" w:sz="0" w:space="0" w:color="auto"/>
      </w:divBdr>
    </w:div>
    <w:div w:id="297302238">
      <w:bodyDiv w:val="1"/>
      <w:marLeft w:val="0"/>
      <w:marRight w:val="0"/>
      <w:marTop w:val="0"/>
      <w:marBottom w:val="0"/>
      <w:divBdr>
        <w:top w:val="none" w:sz="0" w:space="0" w:color="auto"/>
        <w:left w:val="none" w:sz="0" w:space="0" w:color="auto"/>
        <w:bottom w:val="none" w:sz="0" w:space="0" w:color="auto"/>
        <w:right w:val="none" w:sz="0" w:space="0" w:color="auto"/>
      </w:divBdr>
    </w:div>
    <w:div w:id="427310689">
      <w:bodyDiv w:val="1"/>
      <w:marLeft w:val="0"/>
      <w:marRight w:val="0"/>
      <w:marTop w:val="0"/>
      <w:marBottom w:val="0"/>
      <w:divBdr>
        <w:top w:val="none" w:sz="0" w:space="0" w:color="auto"/>
        <w:left w:val="none" w:sz="0" w:space="0" w:color="auto"/>
        <w:bottom w:val="none" w:sz="0" w:space="0" w:color="auto"/>
        <w:right w:val="none" w:sz="0" w:space="0" w:color="auto"/>
      </w:divBdr>
    </w:div>
    <w:div w:id="452137815">
      <w:bodyDiv w:val="1"/>
      <w:marLeft w:val="0"/>
      <w:marRight w:val="0"/>
      <w:marTop w:val="0"/>
      <w:marBottom w:val="0"/>
      <w:divBdr>
        <w:top w:val="none" w:sz="0" w:space="0" w:color="auto"/>
        <w:left w:val="none" w:sz="0" w:space="0" w:color="auto"/>
        <w:bottom w:val="none" w:sz="0" w:space="0" w:color="auto"/>
        <w:right w:val="none" w:sz="0" w:space="0" w:color="auto"/>
      </w:divBdr>
    </w:div>
    <w:div w:id="558637830">
      <w:bodyDiv w:val="1"/>
      <w:marLeft w:val="0"/>
      <w:marRight w:val="0"/>
      <w:marTop w:val="0"/>
      <w:marBottom w:val="0"/>
      <w:divBdr>
        <w:top w:val="none" w:sz="0" w:space="0" w:color="auto"/>
        <w:left w:val="none" w:sz="0" w:space="0" w:color="auto"/>
        <w:bottom w:val="none" w:sz="0" w:space="0" w:color="auto"/>
        <w:right w:val="none" w:sz="0" w:space="0" w:color="auto"/>
      </w:divBdr>
    </w:div>
    <w:div w:id="560597123">
      <w:bodyDiv w:val="1"/>
      <w:marLeft w:val="0"/>
      <w:marRight w:val="0"/>
      <w:marTop w:val="0"/>
      <w:marBottom w:val="0"/>
      <w:divBdr>
        <w:top w:val="none" w:sz="0" w:space="0" w:color="auto"/>
        <w:left w:val="none" w:sz="0" w:space="0" w:color="auto"/>
        <w:bottom w:val="none" w:sz="0" w:space="0" w:color="auto"/>
        <w:right w:val="none" w:sz="0" w:space="0" w:color="auto"/>
      </w:divBdr>
    </w:div>
    <w:div w:id="583609952">
      <w:bodyDiv w:val="1"/>
      <w:marLeft w:val="0"/>
      <w:marRight w:val="0"/>
      <w:marTop w:val="0"/>
      <w:marBottom w:val="0"/>
      <w:divBdr>
        <w:top w:val="none" w:sz="0" w:space="0" w:color="auto"/>
        <w:left w:val="none" w:sz="0" w:space="0" w:color="auto"/>
        <w:bottom w:val="none" w:sz="0" w:space="0" w:color="auto"/>
        <w:right w:val="none" w:sz="0" w:space="0" w:color="auto"/>
      </w:divBdr>
    </w:div>
    <w:div w:id="593320594">
      <w:bodyDiv w:val="1"/>
      <w:marLeft w:val="0"/>
      <w:marRight w:val="0"/>
      <w:marTop w:val="0"/>
      <w:marBottom w:val="0"/>
      <w:divBdr>
        <w:top w:val="none" w:sz="0" w:space="0" w:color="auto"/>
        <w:left w:val="none" w:sz="0" w:space="0" w:color="auto"/>
        <w:bottom w:val="none" w:sz="0" w:space="0" w:color="auto"/>
        <w:right w:val="none" w:sz="0" w:space="0" w:color="auto"/>
      </w:divBdr>
    </w:div>
    <w:div w:id="644044461">
      <w:bodyDiv w:val="1"/>
      <w:marLeft w:val="0"/>
      <w:marRight w:val="0"/>
      <w:marTop w:val="0"/>
      <w:marBottom w:val="0"/>
      <w:divBdr>
        <w:top w:val="none" w:sz="0" w:space="0" w:color="auto"/>
        <w:left w:val="none" w:sz="0" w:space="0" w:color="auto"/>
        <w:bottom w:val="none" w:sz="0" w:space="0" w:color="auto"/>
        <w:right w:val="none" w:sz="0" w:space="0" w:color="auto"/>
      </w:divBdr>
    </w:div>
    <w:div w:id="661661851">
      <w:bodyDiv w:val="1"/>
      <w:marLeft w:val="0"/>
      <w:marRight w:val="0"/>
      <w:marTop w:val="0"/>
      <w:marBottom w:val="0"/>
      <w:divBdr>
        <w:top w:val="none" w:sz="0" w:space="0" w:color="auto"/>
        <w:left w:val="none" w:sz="0" w:space="0" w:color="auto"/>
        <w:bottom w:val="none" w:sz="0" w:space="0" w:color="auto"/>
        <w:right w:val="none" w:sz="0" w:space="0" w:color="auto"/>
      </w:divBdr>
    </w:div>
    <w:div w:id="674769584">
      <w:bodyDiv w:val="1"/>
      <w:marLeft w:val="0"/>
      <w:marRight w:val="0"/>
      <w:marTop w:val="0"/>
      <w:marBottom w:val="0"/>
      <w:divBdr>
        <w:top w:val="none" w:sz="0" w:space="0" w:color="auto"/>
        <w:left w:val="none" w:sz="0" w:space="0" w:color="auto"/>
        <w:bottom w:val="none" w:sz="0" w:space="0" w:color="auto"/>
        <w:right w:val="none" w:sz="0" w:space="0" w:color="auto"/>
      </w:divBdr>
    </w:div>
    <w:div w:id="683173292">
      <w:bodyDiv w:val="1"/>
      <w:marLeft w:val="0"/>
      <w:marRight w:val="0"/>
      <w:marTop w:val="0"/>
      <w:marBottom w:val="0"/>
      <w:divBdr>
        <w:top w:val="none" w:sz="0" w:space="0" w:color="auto"/>
        <w:left w:val="none" w:sz="0" w:space="0" w:color="auto"/>
        <w:bottom w:val="none" w:sz="0" w:space="0" w:color="auto"/>
        <w:right w:val="none" w:sz="0" w:space="0" w:color="auto"/>
      </w:divBdr>
    </w:div>
    <w:div w:id="752052074">
      <w:bodyDiv w:val="1"/>
      <w:marLeft w:val="0"/>
      <w:marRight w:val="0"/>
      <w:marTop w:val="0"/>
      <w:marBottom w:val="0"/>
      <w:divBdr>
        <w:top w:val="none" w:sz="0" w:space="0" w:color="auto"/>
        <w:left w:val="none" w:sz="0" w:space="0" w:color="auto"/>
        <w:bottom w:val="none" w:sz="0" w:space="0" w:color="auto"/>
        <w:right w:val="none" w:sz="0" w:space="0" w:color="auto"/>
      </w:divBdr>
    </w:div>
    <w:div w:id="775565434">
      <w:bodyDiv w:val="1"/>
      <w:marLeft w:val="0"/>
      <w:marRight w:val="0"/>
      <w:marTop w:val="0"/>
      <w:marBottom w:val="0"/>
      <w:divBdr>
        <w:top w:val="none" w:sz="0" w:space="0" w:color="auto"/>
        <w:left w:val="none" w:sz="0" w:space="0" w:color="auto"/>
        <w:bottom w:val="none" w:sz="0" w:space="0" w:color="auto"/>
        <w:right w:val="none" w:sz="0" w:space="0" w:color="auto"/>
      </w:divBdr>
    </w:div>
    <w:div w:id="828205990">
      <w:bodyDiv w:val="1"/>
      <w:marLeft w:val="0"/>
      <w:marRight w:val="0"/>
      <w:marTop w:val="0"/>
      <w:marBottom w:val="0"/>
      <w:divBdr>
        <w:top w:val="none" w:sz="0" w:space="0" w:color="auto"/>
        <w:left w:val="none" w:sz="0" w:space="0" w:color="auto"/>
        <w:bottom w:val="none" w:sz="0" w:space="0" w:color="auto"/>
        <w:right w:val="none" w:sz="0" w:space="0" w:color="auto"/>
      </w:divBdr>
    </w:div>
    <w:div w:id="842473041">
      <w:bodyDiv w:val="1"/>
      <w:marLeft w:val="0"/>
      <w:marRight w:val="0"/>
      <w:marTop w:val="0"/>
      <w:marBottom w:val="0"/>
      <w:divBdr>
        <w:top w:val="none" w:sz="0" w:space="0" w:color="auto"/>
        <w:left w:val="none" w:sz="0" w:space="0" w:color="auto"/>
        <w:bottom w:val="none" w:sz="0" w:space="0" w:color="auto"/>
        <w:right w:val="none" w:sz="0" w:space="0" w:color="auto"/>
      </w:divBdr>
      <w:divsChild>
        <w:div w:id="813375328">
          <w:marLeft w:val="806"/>
          <w:marRight w:val="0"/>
          <w:marTop w:val="77"/>
          <w:marBottom w:val="0"/>
          <w:divBdr>
            <w:top w:val="none" w:sz="0" w:space="0" w:color="auto"/>
            <w:left w:val="none" w:sz="0" w:space="0" w:color="auto"/>
            <w:bottom w:val="none" w:sz="0" w:space="0" w:color="auto"/>
            <w:right w:val="none" w:sz="0" w:space="0" w:color="auto"/>
          </w:divBdr>
        </w:div>
        <w:div w:id="15426815">
          <w:marLeft w:val="806"/>
          <w:marRight w:val="0"/>
          <w:marTop w:val="77"/>
          <w:marBottom w:val="0"/>
          <w:divBdr>
            <w:top w:val="none" w:sz="0" w:space="0" w:color="auto"/>
            <w:left w:val="none" w:sz="0" w:space="0" w:color="auto"/>
            <w:bottom w:val="none" w:sz="0" w:space="0" w:color="auto"/>
            <w:right w:val="none" w:sz="0" w:space="0" w:color="auto"/>
          </w:divBdr>
        </w:div>
        <w:div w:id="1526871096">
          <w:marLeft w:val="806"/>
          <w:marRight w:val="0"/>
          <w:marTop w:val="77"/>
          <w:marBottom w:val="0"/>
          <w:divBdr>
            <w:top w:val="none" w:sz="0" w:space="0" w:color="auto"/>
            <w:left w:val="none" w:sz="0" w:space="0" w:color="auto"/>
            <w:bottom w:val="none" w:sz="0" w:space="0" w:color="auto"/>
            <w:right w:val="none" w:sz="0" w:space="0" w:color="auto"/>
          </w:divBdr>
        </w:div>
        <w:div w:id="1622418769">
          <w:marLeft w:val="806"/>
          <w:marRight w:val="0"/>
          <w:marTop w:val="77"/>
          <w:marBottom w:val="0"/>
          <w:divBdr>
            <w:top w:val="none" w:sz="0" w:space="0" w:color="auto"/>
            <w:left w:val="none" w:sz="0" w:space="0" w:color="auto"/>
            <w:bottom w:val="none" w:sz="0" w:space="0" w:color="auto"/>
            <w:right w:val="none" w:sz="0" w:space="0" w:color="auto"/>
          </w:divBdr>
        </w:div>
      </w:divsChild>
    </w:div>
    <w:div w:id="846166833">
      <w:bodyDiv w:val="1"/>
      <w:marLeft w:val="0"/>
      <w:marRight w:val="0"/>
      <w:marTop w:val="0"/>
      <w:marBottom w:val="0"/>
      <w:divBdr>
        <w:top w:val="none" w:sz="0" w:space="0" w:color="auto"/>
        <w:left w:val="none" w:sz="0" w:space="0" w:color="auto"/>
        <w:bottom w:val="none" w:sz="0" w:space="0" w:color="auto"/>
        <w:right w:val="none" w:sz="0" w:space="0" w:color="auto"/>
      </w:divBdr>
    </w:div>
    <w:div w:id="851340742">
      <w:bodyDiv w:val="1"/>
      <w:marLeft w:val="0"/>
      <w:marRight w:val="0"/>
      <w:marTop w:val="0"/>
      <w:marBottom w:val="0"/>
      <w:divBdr>
        <w:top w:val="none" w:sz="0" w:space="0" w:color="auto"/>
        <w:left w:val="none" w:sz="0" w:space="0" w:color="auto"/>
        <w:bottom w:val="none" w:sz="0" w:space="0" w:color="auto"/>
        <w:right w:val="none" w:sz="0" w:space="0" w:color="auto"/>
      </w:divBdr>
    </w:div>
    <w:div w:id="916205689">
      <w:bodyDiv w:val="1"/>
      <w:marLeft w:val="0"/>
      <w:marRight w:val="0"/>
      <w:marTop w:val="0"/>
      <w:marBottom w:val="0"/>
      <w:divBdr>
        <w:top w:val="none" w:sz="0" w:space="0" w:color="auto"/>
        <w:left w:val="none" w:sz="0" w:space="0" w:color="auto"/>
        <w:bottom w:val="none" w:sz="0" w:space="0" w:color="auto"/>
        <w:right w:val="none" w:sz="0" w:space="0" w:color="auto"/>
      </w:divBdr>
    </w:div>
    <w:div w:id="922186366">
      <w:bodyDiv w:val="1"/>
      <w:marLeft w:val="0"/>
      <w:marRight w:val="0"/>
      <w:marTop w:val="0"/>
      <w:marBottom w:val="0"/>
      <w:divBdr>
        <w:top w:val="none" w:sz="0" w:space="0" w:color="auto"/>
        <w:left w:val="none" w:sz="0" w:space="0" w:color="auto"/>
        <w:bottom w:val="none" w:sz="0" w:space="0" w:color="auto"/>
        <w:right w:val="none" w:sz="0" w:space="0" w:color="auto"/>
      </w:divBdr>
    </w:div>
    <w:div w:id="947271632">
      <w:bodyDiv w:val="1"/>
      <w:marLeft w:val="0"/>
      <w:marRight w:val="0"/>
      <w:marTop w:val="0"/>
      <w:marBottom w:val="0"/>
      <w:divBdr>
        <w:top w:val="none" w:sz="0" w:space="0" w:color="auto"/>
        <w:left w:val="none" w:sz="0" w:space="0" w:color="auto"/>
        <w:bottom w:val="none" w:sz="0" w:space="0" w:color="auto"/>
        <w:right w:val="none" w:sz="0" w:space="0" w:color="auto"/>
      </w:divBdr>
    </w:div>
    <w:div w:id="964699519">
      <w:bodyDiv w:val="1"/>
      <w:marLeft w:val="0"/>
      <w:marRight w:val="0"/>
      <w:marTop w:val="0"/>
      <w:marBottom w:val="0"/>
      <w:divBdr>
        <w:top w:val="none" w:sz="0" w:space="0" w:color="auto"/>
        <w:left w:val="none" w:sz="0" w:space="0" w:color="auto"/>
        <w:bottom w:val="none" w:sz="0" w:space="0" w:color="auto"/>
        <w:right w:val="none" w:sz="0" w:space="0" w:color="auto"/>
      </w:divBdr>
    </w:div>
    <w:div w:id="1043554118">
      <w:bodyDiv w:val="1"/>
      <w:marLeft w:val="0"/>
      <w:marRight w:val="0"/>
      <w:marTop w:val="0"/>
      <w:marBottom w:val="0"/>
      <w:divBdr>
        <w:top w:val="none" w:sz="0" w:space="0" w:color="auto"/>
        <w:left w:val="none" w:sz="0" w:space="0" w:color="auto"/>
        <w:bottom w:val="none" w:sz="0" w:space="0" w:color="auto"/>
        <w:right w:val="none" w:sz="0" w:space="0" w:color="auto"/>
      </w:divBdr>
      <w:divsChild>
        <w:div w:id="2036298965">
          <w:marLeft w:val="806"/>
          <w:marRight w:val="0"/>
          <w:marTop w:val="77"/>
          <w:marBottom w:val="0"/>
          <w:divBdr>
            <w:top w:val="none" w:sz="0" w:space="0" w:color="auto"/>
            <w:left w:val="none" w:sz="0" w:space="0" w:color="auto"/>
            <w:bottom w:val="none" w:sz="0" w:space="0" w:color="auto"/>
            <w:right w:val="none" w:sz="0" w:space="0" w:color="auto"/>
          </w:divBdr>
        </w:div>
        <w:div w:id="1227686399">
          <w:marLeft w:val="806"/>
          <w:marRight w:val="0"/>
          <w:marTop w:val="77"/>
          <w:marBottom w:val="0"/>
          <w:divBdr>
            <w:top w:val="none" w:sz="0" w:space="0" w:color="auto"/>
            <w:left w:val="none" w:sz="0" w:space="0" w:color="auto"/>
            <w:bottom w:val="none" w:sz="0" w:space="0" w:color="auto"/>
            <w:right w:val="none" w:sz="0" w:space="0" w:color="auto"/>
          </w:divBdr>
        </w:div>
        <w:div w:id="1216357717">
          <w:marLeft w:val="806"/>
          <w:marRight w:val="0"/>
          <w:marTop w:val="77"/>
          <w:marBottom w:val="0"/>
          <w:divBdr>
            <w:top w:val="none" w:sz="0" w:space="0" w:color="auto"/>
            <w:left w:val="none" w:sz="0" w:space="0" w:color="auto"/>
            <w:bottom w:val="none" w:sz="0" w:space="0" w:color="auto"/>
            <w:right w:val="none" w:sz="0" w:space="0" w:color="auto"/>
          </w:divBdr>
        </w:div>
        <w:div w:id="867448620">
          <w:marLeft w:val="806"/>
          <w:marRight w:val="0"/>
          <w:marTop w:val="77"/>
          <w:marBottom w:val="0"/>
          <w:divBdr>
            <w:top w:val="none" w:sz="0" w:space="0" w:color="auto"/>
            <w:left w:val="none" w:sz="0" w:space="0" w:color="auto"/>
            <w:bottom w:val="none" w:sz="0" w:space="0" w:color="auto"/>
            <w:right w:val="none" w:sz="0" w:space="0" w:color="auto"/>
          </w:divBdr>
        </w:div>
      </w:divsChild>
    </w:div>
    <w:div w:id="1047341139">
      <w:bodyDiv w:val="1"/>
      <w:marLeft w:val="0"/>
      <w:marRight w:val="0"/>
      <w:marTop w:val="0"/>
      <w:marBottom w:val="0"/>
      <w:divBdr>
        <w:top w:val="none" w:sz="0" w:space="0" w:color="auto"/>
        <w:left w:val="none" w:sz="0" w:space="0" w:color="auto"/>
        <w:bottom w:val="none" w:sz="0" w:space="0" w:color="auto"/>
        <w:right w:val="none" w:sz="0" w:space="0" w:color="auto"/>
      </w:divBdr>
    </w:div>
    <w:div w:id="1051349626">
      <w:bodyDiv w:val="1"/>
      <w:marLeft w:val="0"/>
      <w:marRight w:val="0"/>
      <w:marTop w:val="0"/>
      <w:marBottom w:val="0"/>
      <w:divBdr>
        <w:top w:val="none" w:sz="0" w:space="0" w:color="auto"/>
        <w:left w:val="none" w:sz="0" w:space="0" w:color="auto"/>
        <w:bottom w:val="none" w:sz="0" w:space="0" w:color="auto"/>
        <w:right w:val="none" w:sz="0" w:space="0" w:color="auto"/>
      </w:divBdr>
    </w:div>
    <w:div w:id="1144353837">
      <w:bodyDiv w:val="1"/>
      <w:marLeft w:val="0"/>
      <w:marRight w:val="0"/>
      <w:marTop w:val="0"/>
      <w:marBottom w:val="0"/>
      <w:divBdr>
        <w:top w:val="none" w:sz="0" w:space="0" w:color="auto"/>
        <w:left w:val="none" w:sz="0" w:space="0" w:color="auto"/>
        <w:bottom w:val="none" w:sz="0" w:space="0" w:color="auto"/>
        <w:right w:val="none" w:sz="0" w:space="0" w:color="auto"/>
      </w:divBdr>
    </w:div>
    <w:div w:id="1159729026">
      <w:bodyDiv w:val="1"/>
      <w:marLeft w:val="0"/>
      <w:marRight w:val="0"/>
      <w:marTop w:val="0"/>
      <w:marBottom w:val="0"/>
      <w:divBdr>
        <w:top w:val="none" w:sz="0" w:space="0" w:color="auto"/>
        <w:left w:val="none" w:sz="0" w:space="0" w:color="auto"/>
        <w:bottom w:val="none" w:sz="0" w:space="0" w:color="auto"/>
        <w:right w:val="none" w:sz="0" w:space="0" w:color="auto"/>
      </w:divBdr>
    </w:div>
    <w:div w:id="1208177991">
      <w:bodyDiv w:val="1"/>
      <w:marLeft w:val="0"/>
      <w:marRight w:val="0"/>
      <w:marTop w:val="0"/>
      <w:marBottom w:val="0"/>
      <w:divBdr>
        <w:top w:val="none" w:sz="0" w:space="0" w:color="auto"/>
        <w:left w:val="none" w:sz="0" w:space="0" w:color="auto"/>
        <w:bottom w:val="none" w:sz="0" w:space="0" w:color="auto"/>
        <w:right w:val="none" w:sz="0" w:space="0" w:color="auto"/>
      </w:divBdr>
    </w:div>
    <w:div w:id="1213615408">
      <w:bodyDiv w:val="1"/>
      <w:marLeft w:val="0"/>
      <w:marRight w:val="0"/>
      <w:marTop w:val="0"/>
      <w:marBottom w:val="0"/>
      <w:divBdr>
        <w:top w:val="none" w:sz="0" w:space="0" w:color="auto"/>
        <w:left w:val="none" w:sz="0" w:space="0" w:color="auto"/>
        <w:bottom w:val="none" w:sz="0" w:space="0" w:color="auto"/>
        <w:right w:val="none" w:sz="0" w:space="0" w:color="auto"/>
      </w:divBdr>
    </w:div>
    <w:div w:id="1318878983">
      <w:bodyDiv w:val="1"/>
      <w:marLeft w:val="0"/>
      <w:marRight w:val="0"/>
      <w:marTop w:val="0"/>
      <w:marBottom w:val="0"/>
      <w:divBdr>
        <w:top w:val="none" w:sz="0" w:space="0" w:color="auto"/>
        <w:left w:val="none" w:sz="0" w:space="0" w:color="auto"/>
        <w:bottom w:val="none" w:sz="0" w:space="0" w:color="auto"/>
        <w:right w:val="none" w:sz="0" w:space="0" w:color="auto"/>
      </w:divBdr>
      <w:divsChild>
        <w:div w:id="655190024">
          <w:marLeft w:val="547"/>
          <w:marRight w:val="0"/>
          <w:marTop w:val="96"/>
          <w:marBottom w:val="0"/>
          <w:divBdr>
            <w:top w:val="none" w:sz="0" w:space="0" w:color="auto"/>
            <w:left w:val="none" w:sz="0" w:space="0" w:color="auto"/>
            <w:bottom w:val="none" w:sz="0" w:space="0" w:color="auto"/>
            <w:right w:val="none" w:sz="0" w:space="0" w:color="auto"/>
          </w:divBdr>
        </w:div>
        <w:div w:id="801849680">
          <w:marLeft w:val="547"/>
          <w:marRight w:val="0"/>
          <w:marTop w:val="96"/>
          <w:marBottom w:val="0"/>
          <w:divBdr>
            <w:top w:val="none" w:sz="0" w:space="0" w:color="auto"/>
            <w:left w:val="none" w:sz="0" w:space="0" w:color="auto"/>
            <w:bottom w:val="none" w:sz="0" w:space="0" w:color="auto"/>
            <w:right w:val="none" w:sz="0" w:space="0" w:color="auto"/>
          </w:divBdr>
        </w:div>
        <w:div w:id="1136531876">
          <w:marLeft w:val="547"/>
          <w:marRight w:val="0"/>
          <w:marTop w:val="96"/>
          <w:marBottom w:val="0"/>
          <w:divBdr>
            <w:top w:val="none" w:sz="0" w:space="0" w:color="auto"/>
            <w:left w:val="none" w:sz="0" w:space="0" w:color="auto"/>
            <w:bottom w:val="none" w:sz="0" w:space="0" w:color="auto"/>
            <w:right w:val="none" w:sz="0" w:space="0" w:color="auto"/>
          </w:divBdr>
        </w:div>
        <w:div w:id="279263421">
          <w:marLeft w:val="547"/>
          <w:marRight w:val="0"/>
          <w:marTop w:val="96"/>
          <w:marBottom w:val="0"/>
          <w:divBdr>
            <w:top w:val="none" w:sz="0" w:space="0" w:color="auto"/>
            <w:left w:val="none" w:sz="0" w:space="0" w:color="auto"/>
            <w:bottom w:val="none" w:sz="0" w:space="0" w:color="auto"/>
            <w:right w:val="none" w:sz="0" w:space="0" w:color="auto"/>
          </w:divBdr>
        </w:div>
      </w:divsChild>
    </w:div>
    <w:div w:id="1327828113">
      <w:bodyDiv w:val="1"/>
      <w:marLeft w:val="0"/>
      <w:marRight w:val="0"/>
      <w:marTop w:val="0"/>
      <w:marBottom w:val="0"/>
      <w:divBdr>
        <w:top w:val="none" w:sz="0" w:space="0" w:color="auto"/>
        <w:left w:val="none" w:sz="0" w:space="0" w:color="auto"/>
        <w:bottom w:val="none" w:sz="0" w:space="0" w:color="auto"/>
        <w:right w:val="none" w:sz="0" w:space="0" w:color="auto"/>
      </w:divBdr>
    </w:div>
    <w:div w:id="1354528341">
      <w:bodyDiv w:val="1"/>
      <w:marLeft w:val="0"/>
      <w:marRight w:val="0"/>
      <w:marTop w:val="0"/>
      <w:marBottom w:val="0"/>
      <w:divBdr>
        <w:top w:val="none" w:sz="0" w:space="0" w:color="auto"/>
        <w:left w:val="none" w:sz="0" w:space="0" w:color="auto"/>
        <w:bottom w:val="none" w:sz="0" w:space="0" w:color="auto"/>
        <w:right w:val="none" w:sz="0" w:space="0" w:color="auto"/>
      </w:divBdr>
    </w:div>
    <w:div w:id="1355615412">
      <w:bodyDiv w:val="1"/>
      <w:marLeft w:val="0"/>
      <w:marRight w:val="0"/>
      <w:marTop w:val="0"/>
      <w:marBottom w:val="0"/>
      <w:divBdr>
        <w:top w:val="none" w:sz="0" w:space="0" w:color="auto"/>
        <w:left w:val="none" w:sz="0" w:space="0" w:color="auto"/>
        <w:bottom w:val="none" w:sz="0" w:space="0" w:color="auto"/>
        <w:right w:val="none" w:sz="0" w:space="0" w:color="auto"/>
      </w:divBdr>
    </w:div>
    <w:div w:id="1363550952">
      <w:bodyDiv w:val="1"/>
      <w:marLeft w:val="0"/>
      <w:marRight w:val="0"/>
      <w:marTop w:val="0"/>
      <w:marBottom w:val="0"/>
      <w:divBdr>
        <w:top w:val="none" w:sz="0" w:space="0" w:color="auto"/>
        <w:left w:val="none" w:sz="0" w:space="0" w:color="auto"/>
        <w:bottom w:val="none" w:sz="0" w:space="0" w:color="auto"/>
        <w:right w:val="none" w:sz="0" w:space="0" w:color="auto"/>
      </w:divBdr>
    </w:div>
    <w:div w:id="1387025105">
      <w:bodyDiv w:val="1"/>
      <w:marLeft w:val="0"/>
      <w:marRight w:val="0"/>
      <w:marTop w:val="0"/>
      <w:marBottom w:val="0"/>
      <w:divBdr>
        <w:top w:val="none" w:sz="0" w:space="0" w:color="auto"/>
        <w:left w:val="none" w:sz="0" w:space="0" w:color="auto"/>
        <w:bottom w:val="none" w:sz="0" w:space="0" w:color="auto"/>
        <w:right w:val="none" w:sz="0" w:space="0" w:color="auto"/>
      </w:divBdr>
    </w:div>
    <w:div w:id="1397627128">
      <w:bodyDiv w:val="1"/>
      <w:marLeft w:val="0"/>
      <w:marRight w:val="0"/>
      <w:marTop w:val="0"/>
      <w:marBottom w:val="0"/>
      <w:divBdr>
        <w:top w:val="none" w:sz="0" w:space="0" w:color="auto"/>
        <w:left w:val="none" w:sz="0" w:space="0" w:color="auto"/>
        <w:bottom w:val="none" w:sz="0" w:space="0" w:color="auto"/>
        <w:right w:val="none" w:sz="0" w:space="0" w:color="auto"/>
      </w:divBdr>
    </w:div>
    <w:div w:id="1433696244">
      <w:bodyDiv w:val="1"/>
      <w:marLeft w:val="0"/>
      <w:marRight w:val="0"/>
      <w:marTop w:val="0"/>
      <w:marBottom w:val="0"/>
      <w:divBdr>
        <w:top w:val="none" w:sz="0" w:space="0" w:color="auto"/>
        <w:left w:val="none" w:sz="0" w:space="0" w:color="auto"/>
        <w:bottom w:val="none" w:sz="0" w:space="0" w:color="auto"/>
        <w:right w:val="none" w:sz="0" w:space="0" w:color="auto"/>
      </w:divBdr>
    </w:div>
    <w:div w:id="1548295045">
      <w:bodyDiv w:val="1"/>
      <w:marLeft w:val="0"/>
      <w:marRight w:val="0"/>
      <w:marTop w:val="0"/>
      <w:marBottom w:val="0"/>
      <w:divBdr>
        <w:top w:val="none" w:sz="0" w:space="0" w:color="auto"/>
        <w:left w:val="none" w:sz="0" w:space="0" w:color="auto"/>
        <w:bottom w:val="none" w:sz="0" w:space="0" w:color="auto"/>
        <w:right w:val="none" w:sz="0" w:space="0" w:color="auto"/>
      </w:divBdr>
    </w:div>
    <w:div w:id="1564366930">
      <w:bodyDiv w:val="1"/>
      <w:marLeft w:val="0"/>
      <w:marRight w:val="0"/>
      <w:marTop w:val="0"/>
      <w:marBottom w:val="0"/>
      <w:divBdr>
        <w:top w:val="none" w:sz="0" w:space="0" w:color="auto"/>
        <w:left w:val="none" w:sz="0" w:space="0" w:color="auto"/>
        <w:bottom w:val="none" w:sz="0" w:space="0" w:color="auto"/>
        <w:right w:val="none" w:sz="0" w:space="0" w:color="auto"/>
      </w:divBdr>
    </w:div>
    <w:div w:id="1572034741">
      <w:bodyDiv w:val="1"/>
      <w:marLeft w:val="0"/>
      <w:marRight w:val="0"/>
      <w:marTop w:val="0"/>
      <w:marBottom w:val="0"/>
      <w:divBdr>
        <w:top w:val="none" w:sz="0" w:space="0" w:color="auto"/>
        <w:left w:val="none" w:sz="0" w:space="0" w:color="auto"/>
        <w:bottom w:val="none" w:sz="0" w:space="0" w:color="auto"/>
        <w:right w:val="none" w:sz="0" w:space="0" w:color="auto"/>
      </w:divBdr>
    </w:div>
    <w:div w:id="1577126325">
      <w:bodyDiv w:val="1"/>
      <w:marLeft w:val="0"/>
      <w:marRight w:val="0"/>
      <w:marTop w:val="0"/>
      <w:marBottom w:val="0"/>
      <w:divBdr>
        <w:top w:val="none" w:sz="0" w:space="0" w:color="auto"/>
        <w:left w:val="none" w:sz="0" w:space="0" w:color="auto"/>
        <w:bottom w:val="none" w:sz="0" w:space="0" w:color="auto"/>
        <w:right w:val="none" w:sz="0" w:space="0" w:color="auto"/>
      </w:divBdr>
    </w:div>
    <w:div w:id="1593196254">
      <w:bodyDiv w:val="1"/>
      <w:marLeft w:val="0"/>
      <w:marRight w:val="0"/>
      <w:marTop w:val="0"/>
      <w:marBottom w:val="0"/>
      <w:divBdr>
        <w:top w:val="none" w:sz="0" w:space="0" w:color="auto"/>
        <w:left w:val="none" w:sz="0" w:space="0" w:color="auto"/>
        <w:bottom w:val="none" w:sz="0" w:space="0" w:color="auto"/>
        <w:right w:val="none" w:sz="0" w:space="0" w:color="auto"/>
      </w:divBdr>
    </w:div>
    <w:div w:id="1637293055">
      <w:bodyDiv w:val="1"/>
      <w:marLeft w:val="0"/>
      <w:marRight w:val="0"/>
      <w:marTop w:val="0"/>
      <w:marBottom w:val="0"/>
      <w:divBdr>
        <w:top w:val="none" w:sz="0" w:space="0" w:color="auto"/>
        <w:left w:val="none" w:sz="0" w:space="0" w:color="auto"/>
        <w:bottom w:val="none" w:sz="0" w:space="0" w:color="auto"/>
        <w:right w:val="none" w:sz="0" w:space="0" w:color="auto"/>
      </w:divBdr>
    </w:div>
    <w:div w:id="1655645383">
      <w:bodyDiv w:val="1"/>
      <w:marLeft w:val="0"/>
      <w:marRight w:val="0"/>
      <w:marTop w:val="0"/>
      <w:marBottom w:val="0"/>
      <w:divBdr>
        <w:top w:val="none" w:sz="0" w:space="0" w:color="auto"/>
        <w:left w:val="none" w:sz="0" w:space="0" w:color="auto"/>
        <w:bottom w:val="none" w:sz="0" w:space="0" w:color="auto"/>
        <w:right w:val="none" w:sz="0" w:space="0" w:color="auto"/>
      </w:divBdr>
    </w:div>
    <w:div w:id="1662662706">
      <w:bodyDiv w:val="1"/>
      <w:marLeft w:val="0"/>
      <w:marRight w:val="0"/>
      <w:marTop w:val="0"/>
      <w:marBottom w:val="0"/>
      <w:divBdr>
        <w:top w:val="none" w:sz="0" w:space="0" w:color="auto"/>
        <w:left w:val="none" w:sz="0" w:space="0" w:color="auto"/>
        <w:bottom w:val="none" w:sz="0" w:space="0" w:color="auto"/>
        <w:right w:val="none" w:sz="0" w:space="0" w:color="auto"/>
      </w:divBdr>
      <w:divsChild>
        <w:div w:id="1107503513">
          <w:marLeft w:val="547"/>
          <w:marRight w:val="0"/>
          <w:marTop w:val="96"/>
          <w:marBottom w:val="0"/>
          <w:divBdr>
            <w:top w:val="none" w:sz="0" w:space="0" w:color="auto"/>
            <w:left w:val="none" w:sz="0" w:space="0" w:color="auto"/>
            <w:bottom w:val="none" w:sz="0" w:space="0" w:color="auto"/>
            <w:right w:val="none" w:sz="0" w:space="0" w:color="auto"/>
          </w:divBdr>
        </w:div>
      </w:divsChild>
    </w:div>
    <w:div w:id="1675834962">
      <w:bodyDiv w:val="1"/>
      <w:marLeft w:val="0"/>
      <w:marRight w:val="0"/>
      <w:marTop w:val="0"/>
      <w:marBottom w:val="0"/>
      <w:divBdr>
        <w:top w:val="none" w:sz="0" w:space="0" w:color="auto"/>
        <w:left w:val="none" w:sz="0" w:space="0" w:color="auto"/>
        <w:bottom w:val="none" w:sz="0" w:space="0" w:color="auto"/>
        <w:right w:val="none" w:sz="0" w:space="0" w:color="auto"/>
      </w:divBdr>
    </w:div>
    <w:div w:id="1720744501">
      <w:bodyDiv w:val="1"/>
      <w:marLeft w:val="0"/>
      <w:marRight w:val="0"/>
      <w:marTop w:val="0"/>
      <w:marBottom w:val="0"/>
      <w:divBdr>
        <w:top w:val="none" w:sz="0" w:space="0" w:color="auto"/>
        <w:left w:val="none" w:sz="0" w:space="0" w:color="auto"/>
        <w:bottom w:val="none" w:sz="0" w:space="0" w:color="auto"/>
        <w:right w:val="none" w:sz="0" w:space="0" w:color="auto"/>
      </w:divBdr>
    </w:div>
    <w:div w:id="1724986295">
      <w:bodyDiv w:val="1"/>
      <w:marLeft w:val="0"/>
      <w:marRight w:val="0"/>
      <w:marTop w:val="0"/>
      <w:marBottom w:val="0"/>
      <w:divBdr>
        <w:top w:val="none" w:sz="0" w:space="0" w:color="auto"/>
        <w:left w:val="none" w:sz="0" w:space="0" w:color="auto"/>
        <w:bottom w:val="none" w:sz="0" w:space="0" w:color="auto"/>
        <w:right w:val="none" w:sz="0" w:space="0" w:color="auto"/>
      </w:divBdr>
    </w:div>
    <w:div w:id="1727872080">
      <w:bodyDiv w:val="1"/>
      <w:marLeft w:val="0"/>
      <w:marRight w:val="0"/>
      <w:marTop w:val="0"/>
      <w:marBottom w:val="0"/>
      <w:divBdr>
        <w:top w:val="none" w:sz="0" w:space="0" w:color="auto"/>
        <w:left w:val="none" w:sz="0" w:space="0" w:color="auto"/>
        <w:bottom w:val="none" w:sz="0" w:space="0" w:color="auto"/>
        <w:right w:val="none" w:sz="0" w:space="0" w:color="auto"/>
      </w:divBdr>
    </w:div>
    <w:div w:id="1789739343">
      <w:bodyDiv w:val="1"/>
      <w:marLeft w:val="0"/>
      <w:marRight w:val="0"/>
      <w:marTop w:val="0"/>
      <w:marBottom w:val="0"/>
      <w:divBdr>
        <w:top w:val="none" w:sz="0" w:space="0" w:color="auto"/>
        <w:left w:val="none" w:sz="0" w:space="0" w:color="auto"/>
        <w:bottom w:val="none" w:sz="0" w:space="0" w:color="auto"/>
        <w:right w:val="none" w:sz="0" w:space="0" w:color="auto"/>
      </w:divBdr>
    </w:div>
    <w:div w:id="1869373561">
      <w:bodyDiv w:val="1"/>
      <w:marLeft w:val="0"/>
      <w:marRight w:val="0"/>
      <w:marTop w:val="0"/>
      <w:marBottom w:val="0"/>
      <w:divBdr>
        <w:top w:val="none" w:sz="0" w:space="0" w:color="auto"/>
        <w:left w:val="none" w:sz="0" w:space="0" w:color="auto"/>
        <w:bottom w:val="none" w:sz="0" w:space="0" w:color="auto"/>
        <w:right w:val="none" w:sz="0" w:space="0" w:color="auto"/>
      </w:divBdr>
    </w:div>
    <w:div w:id="1893881111">
      <w:bodyDiv w:val="1"/>
      <w:marLeft w:val="0"/>
      <w:marRight w:val="0"/>
      <w:marTop w:val="0"/>
      <w:marBottom w:val="0"/>
      <w:divBdr>
        <w:top w:val="none" w:sz="0" w:space="0" w:color="auto"/>
        <w:left w:val="none" w:sz="0" w:space="0" w:color="auto"/>
        <w:bottom w:val="none" w:sz="0" w:space="0" w:color="auto"/>
        <w:right w:val="none" w:sz="0" w:space="0" w:color="auto"/>
      </w:divBdr>
    </w:div>
    <w:div w:id="1920601604">
      <w:bodyDiv w:val="1"/>
      <w:marLeft w:val="0"/>
      <w:marRight w:val="0"/>
      <w:marTop w:val="0"/>
      <w:marBottom w:val="0"/>
      <w:divBdr>
        <w:top w:val="none" w:sz="0" w:space="0" w:color="auto"/>
        <w:left w:val="none" w:sz="0" w:space="0" w:color="auto"/>
        <w:bottom w:val="none" w:sz="0" w:space="0" w:color="auto"/>
        <w:right w:val="none" w:sz="0" w:space="0" w:color="auto"/>
      </w:divBdr>
    </w:div>
    <w:div w:id="1971550679">
      <w:bodyDiv w:val="1"/>
      <w:marLeft w:val="0"/>
      <w:marRight w:val="0"/>
      <w:marTop w:val="0"/>
      <w:marBottom w:val="0"/>
      <w:divBdr>
        <w:top w:val="none" w:sz="0" w:space="0" w:color="auto"/>
        <w:left w:val="none" w:sz="0" w:space="0" w:color="auto"/>
        <w:bottom w:val="none" w:sz="0" w:space="0" w:color="auto"/>
        <w:right w:val="none" w:sz="0" w:space="0" w:color="auto"/>
      </w:divBdr>
    </w:div>
    <w:div w:id="1993288389">
      <w:bodyDiv w:val="1"/>
      <w:marLeft w:val="0"/>
      <w:marRight w:val="0"/>
      <w:marTop w:val="0"/>
      <w:marBottom w:val="0"/>
      <w:divBdr>
        <w:top w:val="none" w:sz="0" w:space="0" w:color="auto"/>
        <w:left w:val="none" w:sz="0" w:space="0" w:color="auto"/>
        <w:bottom w:val="none" w:sz="0" w:space="0" w:color="auto"/>
        <w:right w:val="none" w:sz="0" w:space="0" w:color="auto"/>
      </w:divBdr>
    </w:div>
    <w:div w:id="2052418663">
      <w:bodyDiv w:val="1"/>
      <w:marLeft w:val="0"/>
      <w:marRight w:val="0"/>
      <w:marTop w:val="0"/>
      <w:marBottom w:val="0"/>
      <w:divBdr>
        <w:top w:val="none" w:sz="0" w:space="0" w:color="auto"/>
        <w:left w:val="none" w:sz="0" w:space="0" w:color="auto"/>
        <w:bottom w:val="none" w:sz="0" w:space="0" w:color="auto"/>
        <w:right w:val="none" w:sz="0" w:space="0" w:color="auto"/>
      </w:divBdr>
    </w:div>
    <w:div w:id="2068069577">
      <w:bodyDiv w:val="1"/>
      <w:marLeft w:val="0"/>
      <w:marRight w:val="0"/>
      <w:marTop w:val="0"/>
      <w:marBottom w:val="0"/>
      <w:divBdr>
        <w:top w:val="none" w:sz="0" w:space="0" w:color="auto"/>
        <w:left w:val="none" w:sz="0" w:space="0" w:color="auto"/>
        <w:bottom w:val="none" w:sz="0" w:space="0" w:color="auto"/>
        <w:right w:val="none" w:sz="0" w:space="0" w:color="auto"/>
      </w:divBdr>
    </w:div>
    <w:div w:id="2073499177">
      <w:bodyDiv w:val="1"/>
      <w:marLeft w:val="0"/>
      <w:marRight w:val="0"/>
      <w:marTop w:val="0"/>
      <w:marBottom w:val="0"/>
      <w:divBdr>
        <w:top w:val="none" w:sz="0" w:space="0" w:color="auto"/>
        <w:left w:val="none" w:sz="0" w:space="0" w:color="auto"/>
        <w:bottom w:val="none" w:sz="0" w:space="0" w:color="auto"/>
        <w:right w:val="none" w:sz="0" w:space="0" w:color="auto"/>
      </w:divBdr>
    </w:div>
    <w:div w:id="2081172775">
      <w:bodyDiv w:val="1"/>
      <w:marLeft w:val="0"/>
      <w:marRight w:val="0"/>
      <w:marTop w:val="0"/>
      <w:marBottom w:val="0"/>
      <w:divBdr>
        <w:top w:val="none" w:sz="0" w:space="0" w:color="auto"/>
        <w:left w:val="none" w:sz="0" w:space="0" w:color="auto"/>
        <w:bottom w:val="none" w:sz="0" w:space="0" w:color="auto"/>
        <w:right w:val="none" w:sz="0" w:space="0" w:color="auto"/>
      </w:divBdr>
    </w:div>
    <w:div w:id="2086801886">
      <w:bodyDiv w:val="1"/>
      <w:marLeft w:val="0"/>
      <w:marRight w:val="0"/>
      <w:marTop w:val="0"/>
      <w:marBottom w:val="0"/>
      <w:divBdr>
        <w:top w:val="none" w:sz="0" w:space="0" w:color="auto"/>
        <w:left w:val="none" w:sz="0" w:space="0" w:color="auto"/>
        <w:bottom w:val="none" w:sz="0" w:space="0" w:color="auto"/>
        <w:right w:val="none" w:sz="0" w:space="0" w:color="auto"/>
      </w:divBdr>
    </w:div>
    <w:div w:id="2102793410">
      <w:bodyDiv w:val="1"/>
      <w:marLeft w:val="0"/>
      <w:marRight w:val="0"/>
      <w:marTop w:val="0"/>
      <w:marBottom w:val="0"/>
      <w:divBdr>
        <w:top w:val="none" w:sz="0" w:space="0" w:color="auto"/>
        <w:left w:val="none" w:sz="0" w:space="0" w:color="auto"/>
        <w:bottom w:val="none" w:sz="0" w:space="0" w:color="auto"/>
        <w:right w:val="none" w:sz="0" w:space="0" w:color="auto"/>
      </w:divBdr>
    </w:div>
    <w:div w:id="2107310903">
      <w:bodyDiv w:val="1"/>
      <w:marLeft w:val="0"/>
      <w:marRight w:val="0"/>
      <w:marTop w:val="0"/>
      <w:marBottom w:val="0"/>
      <w:divBdr>
        <w:top w:val="none" w:sz="0" w:space="0" w:color="auto"/>
        <w:left w:val="none" w:sz="0" w:space="0" w:color="auto"/>
        <w:bottom w:val="none" w:sz="0" w:space="0" w:color="auto"/>
        <w:right w:val="none" w:sz="0" w:space="0" w:color="auto"/>
      </w:divBdr>
    </w:div>
    <w:div w:id="2145006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na.ruqayyah@unj.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o.fernando@unj.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Ard19</b:Tag>
    <b:SourceType>JournalArticle</b:SourceType>
    <b:Guid>{5C78E471-2123-C241-9B7B-66E43BD91A69}</b:Guid>
    <b:Title>Kajian Teori Komunikasi Lingkungan Dalam Penelitian Pengelolaan Sumber Daya Alam</b:Title>
    <b:JournalName>Perspektif Komunikasi</b:JournalName>
    <b:Year>2019</b:Year>
    <b:Pages>1-20</b:Pages>
    <b:Author>
      <b:Author>
        <b:NameList>
          <b:Person>
            <b:Last>Ardian</b:Last>
            <b:First>Heldi Yunan</b:First>
          </b:Person>
        </b:NameList>
      </b:Author>
    </b:Author>
    <b:RefOrder>2</b:RefOrder>
  </b:Source>
  <b:Source>
    <b:Tag>Mol07</b:Tag>
    <b:SourceType>Book</b:SourceType>
    <b:Guid>{B10D39DB-C870-1D4B-8096-DBA52E89F1E1}</b:Guid>
    <b:Title>Metodologi Penelitian Kualitatif</b:Title>
    <b:Publisher>PT. Remaja Rosdakarya</b:Publisher>
    <b:City>Bandung</b:City>
    <b:Year>2007</b:Year>
    <b:Author>
      <b:Author>
        <b:NameList>
          <b:Person>
            <b:Last>Moleong</b:Last>
            <b:First>J. Lexy.</b:First>
          </b:Person>
        </b:NameList>
      </b:Author>
    </b:Author>
    <b:RefOrder>10</b:RefOrder>
  </b:Source>
  <b:Source>
    <b:Tag>Ana92</b:Tag>
    <b:SourceType>Book</b:SourceType>
    <b:Guid>{22137CDE-7914-A942-BC7E-03669171D5E1}</b:Guid>
    <b:Title>Analisis data Kualitatif: Buku sumber tentang metode-metode baru</b:Title>
    <b:Year>1992</b:Year>
    <b:Author>
      <b:Author>
        <b:NameList>
          <b:Person>
            <b:Last>Miles</b:Last>
            <b:First>Matthew</b:First>
          </b:Person>
          <b:Person>
            <b:Last>Huberman</b:Last>
            <b:First>A. Michael.</b:First>
          </b:Person>
        </b:NameList>
      </b:Author>
    </b:Author>
    <b:City>Jakarta</b:City>
    <b:Publisher>UI Press</b:Publisher>
    <b:RefOrder>16</b:RefOrder>
  </b:Source>
  <b:Source>
    <b:Tag>Cre981</b:Tag>
    <b:SourceType>Book</b:SourceType>
    <b:Guid>{47F7E6F1-D287-7D47-9B57-81E202709828}</b:Guid>
    <b:Title>Qualitative Inquiry and Research Design: Choosing among Five Tradition</b:Title>
    <b:City>London</b:City>
    <b:Publisher>Sage Publications</b:Publisher>
    <b:Year>1998</b:Year>
    <b:Author>
      <b:Author>
        <b:NameList>
          <b:Person>
            <b:Last>Creswell</b:Last>
            <b:First>J.W.</b:First>
          </b:Person>
        </b:NameList>
      </b:Author>
    </b:Author>
    <b:RefOrder>11</b:RefOrder>
  </b:Source>
  <b:Source>
    <b:Tag>Sug152</b:Tag>
    <b:SourceType>Book</b:SourceType>
    <b:Guid>{2B83642F-1653-954E-84CB-BB97C3FA96A4}</b:Guid>
    <b:Title>Metode Penelitian Manajemen: Pendekatan Kuantitatif, Kualitatif, Kombinasi (Mixed Methods), Penelitian Tindakan (Action Research), Penelitian Evaluasi</b:Title>
    <b:City>Bandung</b:City>
    <b:Publisher>Alfabeta</b:Publisher>
    <b:Year>2015</b:Year>
    <b:Author>
      <b:Author>
        <b:NameList>
          <b:Person>
            <b:Last>Sugiyono</b:Last>
          </b:Person>
        </b:NameList>
      </b:Author>
    </b:Author>
    <b:RefOrder>12</b:RefOrder>
  </b:Source>
  <b:Source>
    <b:Tag>Naw96</b:Tag>
    <b:SourceType>Book</b:SourceType>
    <b:Guid>{E7DCF6DB-AA69-634B-BF75-D9BE83F24B31}</b:Guid>
    <b:Title>Penelitian Terapan</b:Title>
    <b:City>Yogyakarta</b:City>
    <b:Publisher>Gajah Mada University Press</b:Publisher>
    <b:Year>1996</b:Year>
    <b:Author>
      <b:Author>
        <b:NameList>
          <b:Person>
            <b:Last>Nawawi</b:Last>
            <b:First>Hadari</b:First>
          </b:Person>
          <b:Person>
            <b:Last>Martini</b:Last>
            <b:First>Mini</b:First>
          </b:Person>
        </b:NameList>
      </b:Author>
    </b:Author>
    <b:RefOrder>13</b:RefOrder>
  </b:Source>
  <b:Source>
    <b:Tag>Kri124</b:Tag>
    <b:SourceType>Book</b:SourceType>
    <b:Guid>{6FF193E7-E056-6641-A94D-141A3316BAA6}</b:Guid>
    <b:Title>Teknik Praktis: Riset Komunikasi</b:Title>
    <b:City>Jakarta</b:City>
    <b:Publisher>Kencana</b:Publisher>
    <b:Year>2012</b:Year>
    <b:Author>
      <b:Author>
        <b:NameList>
          <b:Person>
            <b:Last>Krisyantono</b:Last>
            <b:First>Rachmat</b:First>
          </b:Person>
        </b:NameList>
      </b:Author>
    </b:Author>
    <b:RefOrder>14</b:RefOrder>
  </b:Source>
  <b:Source>
    <b:Tag>Sya213</b:Tag>
    <b:SourceType>JournalArticle</b:SourceType>
    <b:Guid>{6C9947AD-E7A3-8F4E-B10D-6F4593D049ED}</b:Guid>
    <b:Title>Penggunaan Media Sosial Facebook Sebagai Sarana Komunikasi Dan Informasi Di Kalangan Remaja (Studi Deskriptif Pada Remaja di Alamanda Regency Blok M.5 Rt 005/027)</b:Title>
    <b:Year>2021</b:Year>
    <b:Author>
      <b:Author>
        <b:NameList>
          <b:Person>
            <b:Last>Syafrina</b:Last>
            <b:First>Annisa Eka</b:First>
          </b:Person>
          <b:Person>
            <b:Last>Alfarisi</b:Last>
            <b:First>Muhammad Rifai</b:First>
          </b:Person>
        </b:NameList>
      </b:Author>
    </b:Author>
    <b:JournalName>Komunikasi, Masyarakat, dan Keamanan</b:JournalName>
    <b:Pages>17-28</b:Pages>
    <b:RefOrder>15</b:RefOrder>
  </b:Source>
  <b:Source>
    <b:Tag>Qur181</b:Tag>
    <b:SourceType>JournalArticle</b:SourceType>
    <b:Guid>{9275F160-F576-274A-9411-353172D44A80}</b:Guid>
    <b:Title>eWom Pada Generasi Z di Sosial Media</b:Title>
    <b:JournalName>Jurnal Manajemen Daya Saing</b:JournalName>
    <b:Year>2018</b:Year>
    <b:Volume>20</b:Volume>
    <b:Issue>2</b:Issue>
    <b:Pages>70-80</b:Pages>
    <b:Author>
      <b:Author>
        <b:NameList>
          <b:Person>
            <b:Last>Qurniawati</b:Last>
            <b:First>Rina Sari</b:First>
          </b:Person>
          <b:Person>
            <b:Last>Nurohman</b:Last>
            <b:First>Yulfan Arif</b:First>
          </b:Person>
        </b:NameList>
      </b:Author>
    </b:Author>
    <b:RefOrder>7</b:RefOrder>
  </b:Source>
  <b:Source>
    <b:Tag>Puj211</b:Tag>
    <b:SourceType>JournalArticle</b:SourceType>
    <b:Guid>{904AF428-05C0-C247-958C-AC1F486407ED}</b:Guid>
    <b:Title>Media Sosial Sebagai Media Pembelajaran Bagi Generasi Z</b:Title>
    <b:JournalName>Didaché: Journal of Christian Education</b:JournalName>
    <b:Year>2021</b:Year>
    <b:Volume>2</b:Volume>
    <b:Issue>1</b:Issue>
    <b:Pages>1-19</b:Pages>
    <b:Author>
      <b:Author>
        <b:NameList>
          <b:Person>
            <b:Last>Pujiono</b:Last>
            <b:First>Adrias</b:First>
          </b:Person>
        </b:NameList>
      </b:Author>
    </b:Author>
    <b:RefOrder>8</b:RefOrder>
  </b:Source>
  <b:Source>
    <b:Tag>Sya236</b:Tag>
    <b:SourceType>JournalArticle</b:SourceType>
    <b:Guid>{8B1930D2-4869-4B4B-8CEA-FBA99222B54E}</b:Guid>
    <b:Title>Generation Z in Responding to Communication Trends on Instagram</b:Title>
    <b:JournalName>Semantik Journal of Social Media Communication and Journalism</b:JournalName>
    <b:Year>2023</b:Year>
    <b:Volume>1</b:Volume>
    <b:Issue>2</b:Issue>
    <b:Pages>112-123</b:Pages>
    <b:Author>
      <b:Author>
        <b:NameList>
          <b:Person>
            <b:Last>Syafrina</b:Last>
            <b:First>Annisa Eka</b:First>
          </b:Person>
        </b:NameList>
      </b:Author>
    </b:Author>
    <b:RefOrder>9</b:RefOrder>
  </b:Source>
  <b:Source>
    <b:Tag>Lis23</b:Tag>
    <b:SourceType>JournalArticle</b:SourceType>
    <b:Guid>{8BAC6B6B-7D5F-9E46-AE6D-6BCFFDBCDE26}</b:Guid>
    <b:Title>Kajian Permasalahan Pengelolaan Sampah di TPST Bantargebang Kota Bekasi (Studi Kasus PLTSa Merah Putih)</b:Title>
    <b:JournalName>Sinasis</b:JournalName>
    <b:Year>2023</b:Year>
    <b:Volume>4</b:Volume>
    <b:Issue>1</b:Issue>
    <b:Pages>75-82</b:Pages>
    <b:Author>
      <b:Author>
        <b:NameList>
          <b:Person>
            <b:Last>Listiyani</b:Last>
            <b:First>Qory</b:First>
          </b:Person>
          <b:Person>
            <b:Last>Khasanah</b:Last>
            <b:First>Winda Nur</b:First>
          </b:Person>
          <b:Person>
            <b:Last>Purwanti</b:Last>
            <b:First>Popi</b:First>
          </b:Person>
        </b:NameList>
      </b:Author>
    </b:Author>
    <b:RefOrder>1</b:RefOrder>
  </b:Source>
  <b:Source>
    <b:Tag>Wah17</b:Tag>
    <b:SourceType>JournalArticle</b:SourceType>
    <b:Guid>{7D7FD01A-506D-AB42-9080-C9E34D5F7F1B}</b:Guid>
    <b:Title>Strategi Komunikasi Lingkungan Dalam Membangun Kepedulian Masyarakat Terhadap Lingkungan</b:Title>
    <b:Year>2017</b:Year>
    <b:Volume>1</b:Volume>
    <b:Pages>130-134</b:Pages>
    <b:Author>
      <b:Author>
        <b:NameList>
          <b:Person>
            <b:Last>Wahyudin</b:Last>
            <b:First>Uud</b:First>
          </b:Person>
        </b:NameList>
      </b:Author>
    </b:Author>
    <b:JournalName>Jurnal Common</b:JournalName>
    <b:Issue>2</b:Issue>
    <b:RefOrder>3</b:RefOrder>
  </b:Source>
  <b:Source>
    <b:Tag>Ais24</b:Tag>
    <b:SourceType>JournalArticle</b:SourceType>
    <b:Guid>{13F970D5-9F5E-4149-8676-42F92467435D}</b:Guid>
    <b:Title>Pengaruh Pandawara Grup Di Sosial Media Terhadap Literasi Kebersihan Lingkungan Pada Kalangan Mahasiswa Di Universitas Pendidikan Indonesia</b:Title>
    <b:JournalName>Jurnal Pengabdian Kepada Masyarakat mandiri (JPMM)</b:JournalName>
    <b:Year>2024</b:Year>
    <b:Volume>2</b:Volume>
    <b:Issue>2</b:Issue>
    <b:Pages>87-97</b:Pages>
    <b:Author>
      <b:Author>
        <b:NameList>
          <b:Person>
            <b:Last>Aisiyah</b:Last>
            <b:First>Chintya Noer</b:First>
          </b:Person>
          <b:Person>
            <b:Last>A’vun</b:Last>
            <b:First>Qurrota</b:First>
          </b:Person>
          <b:Person>
            <b:Last>Royani</b:Last>
            <b:First>Siti Wulan</b:First>
          </b:Person>
          <b:Person>
            <b:Last>Haq</b:Last>
            <b:First>Wafiyyan Mu’azzirul</b:First>
          </b:Person>
        </b:NameList>
      </b:Author>
    </b:Author>
    <b:RefOrder>4</b:RefOrder>
  </b:Source>
  <b:Source>
    <b:Tag>Pus23</b:Tag>
    <b:SourceType>InternetSite</b:SourceType>
    <b:Guid>{B1642969-93A4-A346-85DA-E2BC5ABAFA88}</b:Guid>
    <b:Title>Humaniora</b:Title>
    <b:Year>2023</b:Year>
    <b:Month>7</b:Month>
    <b:Day>11</b:Day>
    <b:InternetSiteTitle>Media Indonesia</b:InternetSiteTitle>
    <b:URL>https://mediaindonesia.com/humaniora/595815/pandawara-group-gugah-kesadaran-publik-akan-pentingnya-menjaga-lingkungan</b:URL>
    <b:Author>
      <b:Author>
        <b:NameList>
          <b:Person>
            <b:Last>Puspa</b:Last>
            <b:First>Atalya</b:First>
          </b:Person>
        </b:NameList>
      </b:Author>
    </b:Author>
    <b:RefOrder>6</b:RefOrder>
  </b:Source>
  <b:Source>
    <b:Tag>Rah24</b:Tag>
    <b:SourceType>JournalArticle</b:SourceType>
    <b:Guid>{83B1CE7A-8B36-5D43-972B-EE2ADDDA7200}</b:Guid>
    <b:Title>Audit Komunikasi Media Sosial Pandawara Group dalam Melakukan Kampanye Peduli Lingkungan</b:Title>
    <b:Year>2024</b:Year>
    <b:JournalName>Journal of Media and Communication Science</b:JournalName>
    <b:Volume>7</b:Volume>
    <b:Issue>1</b:Issue>
    <b:Pages>7-18</b:Pages>
    <b:Author>
      <b:Author>
        <b:NameList>
          <b:Person>
            <b:Last>Rahman</b:Last>
            <b:First>Ahmad Rofiki</b:First>
          </b:Person>
          <b:Person>
            <b:Last>Astriani</b:Last>
            <b:First>Arnia</b:First>
          </b:Person>
        </b:NameList>
      </b:Author>
    </b:Author>
    <b:RefOrder>5</b:RefOrder>
  </b:Source>
  <b:Source>
    <b:Tag>Yar12</b:Tag>
    <b:SourceType>JournalArticle</b:SourceType>
    <b:Guid>{4B3B89F7-0330-498D-916B-B74913CA3CD8}</b:Guid>
    <b:Author>
      <b:Author>
        <b:NameList>
          <b:Person>
            <b:Last>Yacoub</b:Last>
            <b:First>Yarlina</b:First>
          </b:Person>
        </b:NameList>
      </b:Author>
    </b:Author>
    <b:Title>Pengaruh Tingkat Pengangguran terhadap Tingkat Kemiskinan Kabupaten/Kota di Provinsi Kalimantan Barat</b:Title>
    <b:JournalName>Jurnal EKSOS Volume 8, Nomor 3</b:JournalName>
    <b:Year>Oktober 2012</b:Year>
    <b:Pages>176 - 185</b:Pages>
    <b:RefOrder>1</b:RefOrder>
  </b:Source>
  <b:Source>
    <b:Tag>Shi15</b:Tag>
    <b:SourceType>JournalArticle</b:SourceType>
    <b:Guid>{6FAB59F2-DC32-4EFE-AE50-51A240482C1D}</b:Guid>
    <b:Author>
      <b:Author>
        <b:NameList>
          <b:Person>
            <b:Last>Shiron Jade September</b:Last>
            <b:First>Edna</b:First>
            <b:Middle>Grace Rich and Nicolette Vanessa Roman</b:Middle>
          </b:Person>
        </b:NameList>
      </b:Author>
    </b:Author>
    <b:Title>The role of parenting styles and socio-economic status in parents’ knowledge of child development</b:Title>
    <b:JournalName>Early Child Development and Care</b:JournalName>
    <b:Year>2015</b:Year>
    <b:Pages>1-19</b:Pages>
    <b:RefOrder>2</b:RefOrder>
  </b:Source>
  <b:Source>
    <b:Tag>Nin24</b:Tag>
    <b:SourceType>InternetSite</b:SourceType>
    <b:Guid>{6D0AF969-D2E0-4A6C-89D7-A03D0B45B196}</b:Guid>
    <b:Title>https://www.kompas.id</b:Title>
    <b:Year>2024</b:Year>
    <b:Month>Maret</b:Month>
    <b:Day>10</b:Day>
    <b:Author>
      <b:Author>
        <b:NameList>
          <b:Person>
            <b:Last>Anugrahanto</b:Last>
            <b:First>Nino</b:First>
            <b:Middle>Citra</b:Middle>
          </b:Person>
        </b:NameList>
      </b:Author>
    </b:Author>
    <b:InternetSiteTitle>kompas.id</b:InternetSiteTitle>
    <b:URL>https://www.kompas.id/baca/nusantara/2024/03/10/deretan-kasus-bunuh-diri-sekeluarga-dari-depresi-hingga-tekanan-ekonomi</b:URL>
    <b:RefOrder>3</b:RefOrder>
  </b:Source>
  <b:Source>
    <b:Tag>Muh17</b:Tag>
    <b:SourceType>JournalArticle</b:SourceType>
    <b:Guid>{16CB0597-81DE-429D-92AC-0F10DD822196}</b:Guid>
    <b:Title>PENGARUHFAKTOR SOSIAL EKONOMI ORANG TUA TERHADAP MINAT MELANJUTKAN PENDIDIKAN ANAK DI DESA WUNSE JAYA KECAMATAN WAWONII TENGGARA KABUPATEN KONAWE KEPULAUAN</b:Title>
    <b:Year>2017</b:Year>
    <b:Author>
      <b:Author>
        <b:NameList>
          <b:Person>
            <b:Last>Muhammad</b:Last>
            <b:First>Hasniyati</b:First>
            <b:Middle>Gani Ali, danArifin</b:Middle>
          </b:Person>
        </b:NameList>
      </b:Author>
    </b:Author>
    <b:JournalName>Jurnal Al-Ta’dib Vol.10 No.1,Januari-Juni</b:JournalName>
    <b:Pages>163</b:Pages>
    <b:RefOrder>4</b:RefOrder>
  </b:Source>
  <b:Source>
    <b:Tag>Fua23</b:Tag>
    <b:SourceType>JournalArticle</b:SourceType>
    <b:Guid>{06479FD2-CCF3-4066-AA88-0DABABFCA7AF}</b:Guid>
    <b:Author>
      <b:Author>
        <b:NameList>
          <b:Person>
            <b:Last>Fuat Hasanudin</b:Last>
            <b:First>Yuke</b:First>
            <b:Middle>Yolanda, Muhammad Zahrie Nurhadiansyah</b:Middle>
          </b:Person>
        </b:NameList>
      </b:Author>
    </b:Author>
    <b:Title>KASUS BUNUH DIRI DAN PERAN KELUARGA: STUDI PANDANGAN AKADEMISI HUKUM KELUARGA DAN PSIKOLOGI</b:Title>
    <b:JournalName>Jurnal Almawarid - Jurnal Syari'ah dan Hukum</b:JournalName>
    <b:Year>2023</b:Year>
    <b:Pages>173-191</b:Pages>
    <b:RefOrder>5</b:RefOrder>
  </b:Source>
  <b:Source>
    <b:Tag>Her19</b:Tag>
    <b:SourceType>JournalArticle</b:SourceType>
    <b:Guid>{57488147-1431-41C3-9A50-C1286B0FF4E1}</b:Guid>
    <b:Author>
      <b:Author>
        <b:NameList>
          <b:Person>
            <b:Last>Ngewa</b:Last>
            <b:First>Herviana</b:First>
            <b:Middle>Muarifah</b:Middle>
          </b:Person>
        </b:NameList>
      </b:Author>
    </b:Author>
    <b:Title>PERAN ORANG TUA DALAM PENGASUHAN ANAK</b:Title>
    <b:JournalName>Educhild: Journal of Early Childhood Education Vol.1 No.1</b:JournalName>
    <b:Year>2019</b:Year>
    <b:Pages>96 - 115</b:Pages>
    <b:RefOrder>6</b:RefOrder>
  </b:Source>
  <b:Source>
    <b:Tag>Lus18</b:Tag>
    <b:SourceType>JournalArticle</b:SourceType>
    <b:Guid>{B67A559C-A9A1-4B99-9E74-983B753C87BA}</b:Guid>
    <b:Author>
      <b:Author>
        <b:NameList>
          <b:Person>
            <b:Last>Lusiana Surya Widiani</b:Last>
            <b:First>Wawan</b:First>
            <b:Middle>Darmawan, Tarunasena Ma’mur</b:Middle>
          </b:Person>
        </b:NameList>
      </b:Author>
    </b:Author>
    <b:Title>PENERAPAN MEDIA FILM SEBAGAI SUMBER BELAJAR UNTUK MENINGKATKAN KEMAMPUAN MENGOLAH INFORMASI SISWA DALAM PEMBELAJARAN SEJARAH</b:Title>
    <b:JournalName>FACTUM: JURNAL SEJARAH DAN PENDIDIKAN SEJARAH, VOL. 7 NO. 1</b:JournalName>
    <b:Year>2018</b:Year>
    <b:Pages>123-132</b:Pages>
    <b:RefOrder>7</b:RefOrder>
  </b:Source>
  <b:Source>
    <b:Tag>MFa22</b:Tag>
    <b:SourceType>JournalArticle</b:SourceType>
    <b:Guid>{4B6C495A-4E09-492D-8CD7-E02264087BA5}</b:Guid>
    <b:Author>
      <b:Author>
        <b:NameList>
          <b:Person>
            <b:Last>M. Fadlillah</b:Last>
            <b:First>Syifa</b:First>
            <b:Middle>Fauziah</b:Middle>
          </b:Person>
        </b:NameList>
      </b:Author>
    </b:Author>
    <b:Title>Analysis of Diana Baumrind's Parenting Style on Early Childhood Development</b:Title>
    <b:JournalName>Al-Ishlah: Jurnal Pendidikan Vol.14 - 2</b:JournalName>
    <b:Year>2022</b:Year>
    <b:Pages>2127 - 2134</b:Pages>
    <b:RefOrder>8</b:RefOrder>
  </b:Source>
  <b:Source>
    <b:Tag>Che15</b:Tag>
    <b:SourceType>JournalArticle</b:SourceType>
    <b:Guid>{57A39F94-4FBE-495F-8195-6A1214E92AB8}</b:Guid>
    <b:Author>
      <b:Author>
        <b:NameList>
          <b:Person>
            <b:Last>Chelsea Sulastry Sianipar</b:Last>
            <b:First>Dian</b:First>
            <b:Middle>Ratna Sawitri</b:Middle>
          </b:Person>
        </b:NameList>
      </b:Author>
    </b:Author>
    <b:Title>POLA ASUH OTORITATIF ORANG TUA DAN EFIKASI DIRI DALAM MENGAMBIL KEPUTUSAN KARIR PADA MAHASISWA TAHUN PERTAMA</b:Title>
    <b:JournalName>Jurnal Empati, Volume 4(4)</b:JournalName>
    <b:Year>2015</b:Year>
    <b:Pages>1-7</b:Pages>
    <b:RefOrder>9</b:RefOrder>
  </b:Source>
  <b:Source>
    <b:Tag>Nur20</b:Tag>
    <b:SourceType>JournalArticle</b:SourceType>
    <b:Guid>{E8A02C48-7A42-48FA-9358-1C364CCB1195}</b:Guid>
    <b:Author>
      <b:Author>
        <b:NameList>
          <b:Person>
            <b:Last>Bahrain</b:Last>
            <b:First>Nur</b:First>
            <b:Middle>Evira Anggrainy</b:Middle>
          </b:Person>
        </b:NameList>
      </b:Author>
    </b:Author>
    <b:Title>POLA ASUH OTORITATIF TERHADAP REMAJA</b:Title>
    <b:JournalName>JIVA: Journal of Behaviour and Mental Health Vol. 1, No. 1</b:JournalName>
    <b:Year>2020</b:Year>
    <b:Pages>1 - 7</b:Pages>
    <b:RefOrder>10</b:RefOrder>
  </b:Source>
  <b:Source>
    <b:Tag>Mas24</b:Tag>
    <b:SourceType>JournalArticle</b:SourceType>
    <b:Guid>{69C13C67-3B99-479A-A2EF-DB4D908A40D9}</b:Guid>
    <b:Author>
      <b:Author>
        <b:NameList>
          <b:Person>
            <b:Last>Masri</b:Last>
          </b:Person>
        </b:NameList>
      </b:Author>
    </b:Author>
    <b:Title>KONSEP KELUARGA HARMONIS DALAM BINGKAI SAKINAH, MAWADDAH, WARAHMAH</b:Title>
    <b:JournalName>Jurnal Tahqiqa, Vol. 18, No. 1</b:JournalName>
    <b:Year>2024</b:Year>
    <b:Pages>109 - 123</b:Pages>
    <b:RefOrder>11</b:RefOrder>
  </b:Source>
</b:Sources>
</file>

<file path=customXml/itemProps1.xml><?xml version="1.0" encoding="utf-8"?>
<ds:datastoreItem xmlns:ds="http://schemas.openxmlformats.org/officeDocument/2006/customXml" ds:itemID="{9C359C0D-3A36-4D23-8897-2ED6CCEE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Eka Syafrina</dc:creator>
  <cp:keywords/>
  <dc:description/>
  <cp:lastModifiedBy>Microsoft Office User</cp:lastModifiedBy>
  <cp:revision>7</cp:revision>
  <dcterms:created xsi:type="dcterms:W3CDTF">2025-12-15T08:24:00Z</dcterms:created>
  <dcterms:modified xsi:type="dcterms:W3CDTF">2025-12-16T05:30:00Z</dcterms:modified>
</cp:coreProperties>
</file>