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0EF6" w14:textId="152B9887" w:rsidR="0039297F" w:rsidRPr="00F32860" w:rsidRDefault="00586055" w:rsidP="00586055">
      <w:pPr>
        <w:pStyle w:val="Heading1"/>
        <w:spacing w:line="360" w:lineRule="auto"/>
        <w:jc w:val="center"/>
        <w:rPr>
          <w:rFonts w:ascii="Times New Roman" w:eastAsia="Times New Roman" w:hAnsi="Times New Roman" w:cs="Times New Roman"/>
          <w:color w:val="auto"/>
          <w:lang w:val="de-DE"/>
        </w:rPr>
      </w:pPr>
      <w:r w:rsidRPr="00586055">
        <w:rPr>
          <w:rFonts w:ascii="Times New Roman" w:eastAsia="Times New Roman" w:hAnsi="Times New Roman" w:cs="Times New Roman"/>
          <w:color w:val="auto"/>
          <w:lang w:val="de-DE"/>
        </w:rPr>
        <w:t>MEDIA POLITICAL COMMUNICATION: TEXTUAL ANALYSIS OF NEWS COVERAGE ON THE DEVELOPMENT OF MINING AREAS IN RAJA AMPAT</w:t>
      </w:r>
      <w:r>
        <w:rPr>
          <w:rFonts w:ascii="Times New Roman" w:eastAsia="Times New Roman" w:hAnsi="Times New Roman" w:cs="Times New Roman"/>
          <w:color w:val="auto"/>
          <w:lang w:val="de-DE"/>
        </w:rPr>
        <w:t xml:space="preserve"> </w:t>
      </w:r>
      <w:r w:rsidRPr="00586055">
        <w:rPr>
          <w:rFonts w:ascii="Times New Roman" w:eastAsia="Times New Roman" w:hAnsi="Times New Roman" w:cs="Times New Roman"/>
          <w:color w:val="auto"/>
          <w:lang w:val="de-DE"/>
        </w:rPr>
        <w:t>(COVERAGE ON TEMPO ONLINE AND MEDIA INDONESIA)</w:t>
      </w:r>
    </w:p>
    <w:p w14:paraId="4EAD7FAA" w14:textId="77777777" w:rsidR="00F32860" w:rsidRPr="00F32860" w:rsidRDefault="00F32860" w:rsidP="00F249B1">
      <w:pPr>
        <w:spacing w:line="360" w:lineRule="auto"/>
        <w:rPr>
          <w:lang w:val="de-DE" w:bidi="en-US"/>
        </w:rPr>
      </w:pPr>
    </w:p>
    <w:p w14:paraId="0501DFB1" w14:textId="477412B4" w:rsidR="0039297F" w:rsidRDefault="00586055" w:rsidP="00F249B1">
      <w:pPr>
        <w:spacing w:line="360" w:lineRule="auto"/>
        <w:jc w:val="center"/>
        <w:rPr>
          <w:rFonts w:eastAsia="Times New Roman"/>
          <w:bCs/>
          <w:lang w:val="de-DE"/>
        </w:rPr>
      </w:pPr>
      <w:bookmarkStart w:id="0" w:name="_Hlk216778381"/>
      <w:r w:rsidRPr="00586055">
        <w:rPr>
          <w:rFonts w:eastAsia="Times New Roman"/>
          <w:bCs/>
          <w:lang w:val="de-DE"/>
        </w:rPr>
        <w:t>Afina Ruqayyah</w:t>
      </w:r>
      <w:r w:rsidRPr="00586055">
        <w:rPr>
          <w:rFonts w:eastAsia="Times New Roman"/>
          <w:bCs/>
          <w:vertAlign w:val="superscript"/>
          <w:lang w:val="de-DE"/>
        </w:rPr>
        <w:t>1</w:t>
      </w:r>
      <w:bookmarkEnd w:id="0"/>
      <w:r>
        <w:rPr>
          <w:rFonts w:eastAsia="Times New Roman"/>
          <w:bCs/>
          <w:lang w:val="de-DE"/>
        </w:rPr>
        <w:t xml:space="preserve">, </w:t>
      </w:r>
      <w:r w:rsidRPr="00586055">
        <w:rPr>
          <w:rFonts w:eastAsia="Times New Roman"/>
          <w:bCs/>
          <w:lang w:val="de-DE"/>
        </w:rPr>
        <w:t>Rico Fernando Siregar</w:t>
      </w:r>
      <w:r w:rsidRPr="00586055">
        <w:rPr>
          <w:rFonts w:eastAsia="Times New Roman"/>
          <w:bCs/>
          <w:vertAlign w:val="superscript"/>
          <w:lang w:val="de-DE"/>
        </w:rPr>
        <w:t>2</w:t>
      </w:r>
    </w:p>
    <w:p w14:paraId="214E351A" w14:textId="77777777" w:rsidR="00E55D21" w:rsidRDefault="00E55D21" w:rsidP="00F249B1">
      <w:pPr>
        <w:spacing w:line="360" w:lineRule="auto"/>
        <w:jc w:val="center"/>
        <w:rPr>
          <w:rFonts w:eastAsia="Times New Roman"/>
          <w:bCs/>
          <w:lang w:val="de-DE"/>
        </w:rPr>
      </w:pPr>
    </w:p>
    <w:p w14:paraId="2EB26633" w14:textId="77777777" w:rsidR="005F52B8" w:rsidRPr="00CF36B3" w:rsidRDefault="005F52B8" w:rsidP="00F249B1">
      <w:pPr>
        <w:spacing w:line="360" w:lineRule="auto"/>
        <w:jc w:val="center"/>
        <w:rPr>
          <w:rFonts w:eastAsia="Times New Roman"/>
          <w:bCs/>
          <w:sz w:val="8"/>
          <w:szCs w:val="8"/>
          <w:lang w:val="de-DE"/>
        </w:rPr>
      </w:pPr>
    </w:p>
    <w:p w14:paraId="17B8CE56" w14:textId="3C225822" w:rsidR="0039297F" w:rsidRPr="00CF36B3" w:rsidRDefault="00586055" w:rsidP="00F249B1">
      <w:pPr>
        <w:spacing w:line="360" w:lineRule="auto"/>
        <w:jc w:val="center"/>
        <w:rPr>
          <w:rFonts w:asciiTheme="minorHAnsi" w:eastAsia="Times New Roman" w:hAnsiTheme="minorHAnsi" w:cstheme="minorHAnsi"/>
          <w:bCs/>
          <w:i/>
          <w:iCs/>
          <w:sz w:val="20"/>
          <w:szCs w:val="20"/>
          <w:lang w:val="de-DE"/>
        </w:rPr>
      </w:pPr>
      <w:r w:rsidRPr="00586055">
        <w:rPr>
          <w:rFonts w:asciiTheme="minorHAnsi" w:eastAsia="Times New Roman" w:hAnsiTheme="minorHAnsi" w:cstheme="minorHAnsi"/>
          <w:bCs/>
          <w:i/>
          <w:iCs/>
          <w:sz w:val="20"/>
          <w:szCs w:val="20"/>
          <w:vertAlign w:val="superscript"/>
          <w:lang w:val="de-DE"/>
        </w:rPr>
        <w:t>1,2</w:t>
      </w:r>
      <w:r w:rsidRPr="00586055">
        <w:rPr>
          <w:rFonts w:asciiTheme="minorHAnsi" w:eastAsia="Times New Roman" w:hAnsiTheme="minorHAnsi" w:cstheme="minorHAnsi"/>
          <w:bCs/>
          <w:i/>
          <w:iCs/>
          <w:sz w:val="20"/>
          <w:szCs w:val="20"/>
          <w:lang w:val="de-DE"/>
        </w:rPr>
        <w:t>Public Relations and Digital Communication, Jakarta State University, Jakarta, Indonesia</w:t>
      </w:r>
    </w:p>
    <w:p w14:paraId="662C8F44" w14:textId="320FF772" w:rsidR="0039297F" w:rsidRDefault="00FA7ED2" w:rsidP="00F249B1">
      <w:pPr>
        <w:spacing w:line="360" w:lineRule="auto"/>
        <w:jc w:val="center"/>
        <w:rPr>
          <w:rStyle w:val="Hyperlink"/>
          <w:rFonts w:asciiTheme="minorHAnsi" w:eastAsia="Times New Roman" w:hAnsiTheme="minorHAnsi" w:cstheme="minorHAnsi"/>
          <w:bCs/>
          <w:sz w:val="22"/>
          <w:szCs w:val="22"/>
          <w:lang w:val="de-DE"/>
        </w:rPr>
      </w:pPr>
      <w:hyperlink r:id="rId8" w:history="1">
        <w:r w:rsidR="00586055" w:rsidRPr="00681091">
          <w:rPr>
            <w:rStyle w:val="Hyperlink"/>
            <w:rFonts w:asciiTheme="minorHAnsi" w:eastAsia="Times New Roman" w:hAnsiTheme="minorHAnsi" w:cstheme="minorHAnsi"/>
            <w:bCs/>
            <w:sz w:val="22"/>
            <w:szCs w:val="22"/>
            <w:lang w:val="de-DE"/>
          </w:rPr>
          <w:t>Afina.ruqayyah@unj.ac.id</w:t>
        </w:r>
      </w:hyperlink>
    </w:p>
    <w:p w14:paraId="299494C0" w14:textId="781C6CAC" w:rsidR="00586055" w:rsidRPr="00586055" w:rsidRDefault="00FA7ED2" w:rsidP="00F249B1">
      <w:pPr>
        <w:spacing w:line="360" w:lineRule="auto"/>
        <w:jc w:val="center"/>
        <w:rPr>
          <w:rStyle w:val="Hyperlink"/>
        </w:rPr>
      </w:pPr>
      <w:hyperlink r:id="rId9" w:history="1">
        <w:r w:rsidR="00586055" w:rsidRPr="00586055">
          <w:rPr>
            <w:rStyle w:val="Hyperlink"/>
            <w:rFonts w:asciiTheme="minorHAnsi" w:eastAsia="Times New Roman" w:hAnsiTheme="minorHAnsi" w:cstheme="minorHAnsi"/>
            <w:bCs/>
            <w:sz w:val="22"/>
            <w:szCs w:val="22"/>
            <w:lang w:val="de-DE"/>
          </w:rPr>
          <w:t>rico.fernando@unj.ac.id</w:t>
        </w:r>
      </w:hyperlink>
    </w:p>
    <w:p w14:paraId="26AC8A2E" w14:textId="77777777" w:rsidR="001D0B3C" w:rsidRPr="005F52B8" w:rsidRDefault="001D0B3C" w:rsidP="00F249B1">
      <w:pPr>
        <w:spacing w:line="360" w:lineRule="auto"/>
        <w:jc w:val="center"/>
        <w:rPr>
          <w:rFonts w:eastAsia="Times New Roman"/>
          <w:lang w:val="de-DE"/>
        </w:rPr>
      </w:pPr>
    </w:p>
    <w:p w14:paraId="11EE14A7" w14:textId="02197356" w:rsidR="001D0B3C" w:rsidRPr="00987DC8" w:rsidRDefault="00987DC8" w:rsidP="00F249B1">
      <w:pPr>
        <w:jc w:val="center"/>
        <w:rPr>
          <w:rFonts w:eastAsia="Times New Roman"/>
          <w:b/>
          <w:i/>
          <w:iCs/>
          <w:lang w:val="de-DE"/>
        </w:rPr>
      </w:pPr>
      <w:r w:rsidRPr="00987DC8">
        <w:rPr>
          <w:rFonts w:eastAsia="Times New Roman"/>
          <w:b/>
          <w:i/>
          <w:iCs/>
          <w:lang w:val="de-DE"/>
        </w:rPr>
        <w:t>ABSTRACT</w:t>
      </w:r>
    </w:p>
    <w:p w14:paraId="4B895592" w14:textId="77777777" w:rsidR="00F249B1" w:rsidRPr="005F52B8" w:rsidRDefault="00F249B1" w:rsidP="00F249B1">
      <w:pPr>
        <w:rPr>
          <w:rFonts w:eastAsia="Times New Roman"/>
          <w:b/>
          <w:lang w:val="de-DE"/>
        </w:rPr>
      </w:pPr>
    </w:p>
    <w:p w14:paraId="2D72D32C" w14:textId="77777777" w:rsidR="00586055" w:rsidRPr="00586055" w:rsidRDefault="00586055" w:rsidP="00987DC8">
      <w:pPr>
        <w:spacing w:line="276" w:lineRule="auto"/>
        <w:jc w:val="both"/>
        <w:rPr>
          <w:lang w:val="de-DE"/>
        </w:rPr>
      </w:pPr>
      <w:r w:rsidRPr="00586055">
        <w:rPr>
          <w:lang w:val="de-DE"/>
        </w:rPr>
        <w:t>In his book "Mass Communication Theory", Denis McQuail explains that the emergence of internet technology has brought the spectrum of mass media into a new force of communication, influencing social integration, disintegration, and public enlightenment through information disseminated by mass media. Mass media cannot be separated from its role as a medium for advertising, entertainment, and as a tool for economic and political propaganda to influence public opinion on various issues.</w:t>
      </w:r>
    </w:p>
    <w:p w14:paraId="54D44F48" w14:textId="20131B73" w:rsidR="00586055" w:rsidRDefault="00586055" w:rsidP="00987DC8">
      <w:pPr>
        <w:spacing w:line="276" w:lineRule="auto"/>
        <w:jc w:val="both"/>
        <w:rPr>
          <w:lang w:val="de-DE"/>
        </w:rPr>
      </w:pPr>
      <w:r w:rsidRPr="00586055">
        <w:rPr>
          <w:lang w:val="de-DE"/>
        </w:rPr>
        <w:t>The issue of nickel mining activities in the Raja Ampat region in 2025, for example, was reported with different tones by Tempo and Media Indonesia. Tempo, known for its investigative journalism style and founded by liberal-minded figure Goenawan Mohamad, tends to portray the nickel mining issue with a negative sentiment. In contrast, Media Indonesia, owned by Surya Paloh and closely affiliated with the government, tends to frame the issue more positively. These differences in reporting perspectives align with the framework of media and society formation theory (Westley &amp; MacLean, 1957, in McQuail, 2010), which highlights the key determinants of media coverage, such as institutional control, organizational motives, involvement of other social institutions, and the portrayal of reality shaped by each institution’s “media logic.</w:t>
      </w:r>
    </w:p>
    <w:p w14:paraId="1810D1F6" w14:textId="77777777" w:rsidR="00586055" w:rsidRDefault="00586055" w:rsidP="00586055">
      <w:pPr>
        <w:jc w:val="both"/>
        <w:rPr>
          <w:lang w:val="de-DE"/>
        </w:rPr>
      </w:pPr>
    </w:p>
    <w:p w14:paraId="1E1A12ED" w14:textId="38CCB39B" w:rsidR="00AD25BA" w:rsidRPr="005F52B8" w:rsidRDefault="00AD25BA" w:rsidP="00F249B1">
      <w:pPr>
        <w:spacing w:line="360" w:lineRule="auto"/>
        <w:jc w:val="both"/>
        <w:rPr>
          <w:color w:val="000000" w:themeColor="text1"/>
          <w:lang w:val="de-DE"/>
        </w:rPr>
      </w:pPr>
      <w:r w:rsidRPr="008514B8">
        <w:rPr>
          <w:b/>
          <w:bCs/>
          <w:color w:val="000000" w:themeColor="text1"/>
          <w:lang w:val="de-DE"/>
        </w:rPr>
        <w:t>Kata Kunc</w:t>
      </w:r>
      <w:r w:rsidR="008514B8">
        <w:rPr>
          <w:b/>
          <w:bCs/>
          <w:color w:val="000000" w:themeColor="text1"/>
          <w:lang w:val="de-DE"/>
        </w:rPr>
        <w:t xml:space="preserve">i: </w:t>
      </w:r>
      <w:r w:rsidR="00586055" w:rsidRPr="00586055">
        <w:rPr>
          <w:color w:val="000000" w:themeColor="text1"/>
          <w:lang w:val="de-DE"/>
        </w:rPr>
        <w:t>Mass Media; Nickel Mining; Raja Ampat; Media Political Economy; Media and Society Formation Theory</w:t>
      </w:r>
    </w:p>
    <w:p w14:paraId="4674726F" w14:textId="77777777" w:rsidR="00AD25BA" w:rsidRPr="005F52B8" w:rsidRDefault="00AD25BA" w:rsidP="00F249B1">
      <w:pPr>
        <w:spacing w:line="360" w:lineRule="auto"/>
        <w:jc w:val="center"/>
        <w:rPr>
          <w:rFonts w:eastAsia="Times New Roman"/>
          <w:lang w:val="de-DE"/>
        </w:rPr>
      </w:pPr>
    </w:p>
    <w:p w14:paraId="2F43F525" w14:textId="5C64F6D3" w:rsidR="00652B02" w:rsidRPr="002712A1" w:rsidRDefault="00586055" w:rsidP="002712A1">
      <w:pPr>
        <w:pStyle w:val="Heading2"/>
        <w:rPr>
          <w:rFonts w:ascii="Times New Roman" w:eastAsia="Times New Roman" w:hAnsi="Times New Roman" w:cs="Times New Roman"/>
          <w:b/>
          <w:bCs/>
          <w:color w:val="auto"/>
          <w:sz w:val="24"/>
          <w:szCs w:val="24"/>
          <w:lang w:val="de-DE"/>
        </w:rPr>
      </w:pPr>
      <w:r>
        <w:rPr>
          <w:rFonts w:ascii="Times New Roman" w:eastAsia="Times New Roman" w:hAnsi="Times New Roman" w:cs="Times New Roman"/>
          <w:b/>
          <w:bCs/>
          <w:color w:val="auto"/>
          <w:sz w:val="24"/>
          <w:szCs w:val="24"/>
          <w:lang w:val="de-DE"/>
        </w:rPr>
        <w:t>INTRODUCTION</w:t>
      </w:r>
    </w:p>
    <w:p w14:paraId="62E20013" w14:textId="452149C4" w:rsidR="00586055" w:rsidRPr="00586055" w:rsidRDefault="00586055" w:rsidP="00586055">
      <w:pPr>
        <w:widowControl w:val="0"/>
        <w:autoSpaceDE w:val="0"/>
        <w:autoSpaceDN w:val="0"/>
        <w:adjustRightInd w:val="0"/>
        <w:spacing w:line="360" w:lineRule="auto"/>
        <w:ind w:firstLine="709"/>
        <w:jc w:val="both"/>
        <w:rPr>
          <w:color w:val="000000"/>
          <w:lang w:val="de-DE"/>
        </w:rPr>
      </w:pPr>
      <w:r w:rsidRPr="00586055">
        <w:rPr>
          <w:color w:val="000000"/>
          <w:lang w:val="de-DE"/>
        </w:rPr>
        <w:t xml:space="preserve">Framing theory as developed by Entman (1993) emphasizes how media select certain aspects of perceived reality and make them more salient in communication texts. In the context </w:t>
      </w:r>
      <w:r w:rsidRPr="00586055">
        <w:rPr>
          <w:color w:val="000000"/>
          <w:lang w:val="de-DE"/>
        </w:rPr>
        <w:lastRenderedPageBreak/>
        <w:t xml:space="preserve">of this study, framing analysis is not only used to identify the tone of coverage but also to examine lexical choices, sources, and structural composition of news articles. Pan and Kosicki (1993) argue that framing involves four dimensions syntactic, script, thematic, and rhetorical structures that can be systematically analyzed to reveal ideological orientations.   </w:t>
      </w:r>
    </w:p>
    <w:p w14:paraId="13F54B88" w14:textId="77777777" w:rsidR="00586055" w:rsidRDefault="00586055" w:rsidP="00586055">
      <w:pPr>
        <w:widowControl w:val="0"/>
        <w:autoSpaceDE w:val="0"/>
        <w:autoSpaceDN w:val="0"/>
        <w:adjustRightInd w:val="0"/>
        <w:spacing w:line="360" w:lineRule="auto"/>
        <w:ind w:firstLine="709"/>
        <w:jc w:val="both"/>
        <w:rPr>
          <w:color w:val="000000"/>
          <w:lang w:val="de-DE"/>
        </w:rPr>
      </w:pPr>
      <w:r w:rsidRPr="00586055">
        <w:rPr>
          <w:color w:val="000000"/>
          <w:lang w:val="de-DE"/>
        </w:rPr>
        <w:t>Meanwhile, political economy of media as explained by Mosco (2009) focuses on the ownership, production, and distribution of media content, and how these factors shape the public sphere. This approach is relevant in the Indonesian media landscape where conglomerate ownership often intersects with political power, influencing editorial decisions (Herman &amp; Chomsky, 1998; Bagdikian, 2004). The intersection between media framing and political economy provides a robust lens to analyze how Tempo and Media Indonesia construct competing narratives about nickel mining in Raja Ampat.</w:t>
      </w:r>
    </w:p>
    <w:p w14:paraId="46472051" w14:textId="121392D9" w:rsidR="00586055" w:rsidRPr="00586055" w:rsidRDefault="00586055" w:rsidP="00586055">
      <w:pPr>
        <w:widowControl w:val="0"/>
        <w:autoSpaceDE w:val="0"/>
        <w:autoSpaceDN w:val="0"/>
        <w:adjustRightInd w:val="0"/>
        <w:spacing w:line="360" w:lineRule="auto"/>
        <w:ind w:firstLine="709"/>
        <w:jc w:val="both"/>
        <w:rPr>
          <w:color w:val="000000"/>
          <w:lang w:val="de-DE"/>
        </w:rPr>
      </w:pPr>
      <w:r w:rsidRPr="00586055">
        <w:rPr>
          <w:color w:val="000000"/>
          <w:lang w:val="de-DE"/>
        </w:rPr>
        <w:t>The expansion of extractive industries, particularly nickel mining in conservation-designated regions such as Raja Ampat, has emerged as a key issue within Indonesia’s contemporary media and political communication landscape. Raja Ampat, globally recognized for having one of the highest levels of marine biodiversity in the world, now faces ecological pressure due to rising global demand for nickel—an essential resource for electric vehicle batteries and the broader energy transition. Amid these geopolitical and economic interests, mass media plays a crucial role in shaping public perceptions of the relationship between development, conservation, and political agendas.</w:t>
      </w:r>
    </w:p>
    <w:p w14:paraId="072A26BC" w14:textId="77777777" w:rsidR="00586055" w:rsidRDefault="00586055" w:rsidP="00586055">
      <w:pPr>
        <w:widowControl w:val="0"/>
        <w:autoSpaceDE w:val="0"/>
        <w:autoSpaceDN w:val="0"/>
        <w:adjustRightInd w:val="0"/>
        <w:spacing w:line="360" w:lineRule="auto"/>
        <w:ind w:firstLine="709"/>
        <w:jc w:val="both"/>
        <w:rPr>
          <w:color w:val="000000"/>
          <w:lang w:val="de-DE"/>
        </w:rPr>
      </w:pPr>
      <w:r w:rsidRPr="00586055">
        <w:rPr>
          <w:color w:val="000000"/>
          <w:lang w:val="de-DE"/>
        </w:rPr>
        <w:t>In this context, analyzing media political communication is essential for understanding how media outlets construct social realities and represent environmental issues through the influence of structural forces within the media industry. As McQuail (2011) asserts, the media does not merely transmit information; it functions as a social institution capable of shaping social integration and disintegration through the framing of particular issues. This aligns with Herman and Chomsky’s (1998) argument that ownership structures, political alignments, and corporate economic interests can significantly influence media bias.</w:t>
      </w:r>
    </w:p>
    <w:p w14:paraId="3BF70B6F" w14:textId="2217D3EE" w:rsidR="00586055" w:rsidRPr="00586055" w:rsidRDefault="00586055" w:rsidP="00586055">
      <w:pPr>
        <w:widowControl w:val="0"/>
        <w:autoSpaceDE w:val="0"/>
        <w:autoSpaceDN w:val="0"/>
        <w:adjustRightInd w:val="0"/>
        <w:spacing w:line="360" w:lineRule="auto"/>
        <w:ind w:firstLine="709"/>
        <w:jc w:val="both"/>
        <w:rPr>
          <w:color w:val="000000"/>
          <w:lang w:val="de-DE"/>
        </w:rPr>
      </w:pPr>
      <w:r w:rsidRPr="00586055">
        <w:rPr>
          <w:color w:val="000000"/>
          <w:lang w:val="de-DE"/>
        </w:rPr>
        <w:t xml:space="preserve">The divergent reporting on nickel mining activities in Raja Ampat by Tempo Online and Media Indonesia reflects these dynamics. Tempo—rooted in investigative journalism and long known for its editorial independence—tends to frame the issue critically by highlighting environmental and socio-economic risks. In contrast, Media Indonesia owned by Surya Paloh and politically aligned with the government presents a more favorable portrayal by emphasizing economic development and regulatory compliance. These contrasting frames </w:t>
      </w:r>
      <w:r w:rsidRPr="00586055">
        <w:rPr>
          <w:color w:val="000000"/>
          <w:lang w:val="de-DE"/>
        </w:rPr>
        <w:lastRenderedPageBreak/>
        <w:t>exemplify how media logic (Altheide &amp; Snow, 1979) and the Westley and MacLean (1957) model of media–society formation shape news production processes.</w:t>
      </w:r>
    </w:p>
    <w:p w14:paraId="0F7E6643" w14:textId="77777777" w:rsidR="00586055" w:rsidRPr="00586055" w:rsidRDefault="00586055" w:rsidP="00586055">
      <w:pPr>
        <w:widowControl w:val="0"/>
        <w:autoSpaceDE w:val="0"/>
        <w:autoSpaceDN w:val="0"/>
        <w:adjustRightInd w:val="0"/>
        <w:spacing w:line="360" w:lineRule="auto"/>
        <w:ind w:firstLine="709"/>
        <w:jc w:val="both"/>
        <w:rPr>
          <w:color w:val="000000"/>
          <w:lang w:val="de-DE"/>
        </w:rPr>
      </w:pPr>
      <w:r w:rsidRPr="00586055">
        <w:rPr>
          <w:color w:val="000000"/>
          <w:lang w:val="de-DE"/>
        </w:rPr>
        <w:t>Furthermore, framing theory (Entman, 1993) and the political economy of media (Mosco, 2009) provide analytical frameworks for examining how lexical choices, narrative structures, source selection, and agenda-setting practices reflect the ideological orientations of each news outlet. In today’s fragmented digital media environment, the selection and construction of key issues increasingly influence how audiences interpret strategic matters such as natural resource exploitation in conservation zones. This study is therefore important not only for examining structural media biases but also for understanding the ethical and political implications of environmental news reporting.</w:t>
      </w:r>
    </w:p>
    <w:p w14:paraId="7F25D002" w14:textId="77777777" w:rsidR="00586055" w:rsidRPr="00586055" w:rsidRDefault="00586055" w:rsidP="00586055">
      <w:pPr>
        <w:widowControl w:val="0"/>
        <w:autoSpaceDE w:val="0"/>
        <w:autoSpaceDN w:val="0"/>
        <w:adjustRightInd w:val="0"/>
        <w:spacing w:line="360" w:lineRule="auto"/>
        <w:ind w:firstLine="709"/>
        <w:jc w:val="both"/>
        <w:rPr>
          <w:color w:val="000000"/>
          <w:lang w:val="de-DE"/>
        </w:rPr>
      </w:pPr>
      <w:r w:rsidRPr="00586055">
        <w:rPr>
          <w:color w:val="000000"/>
          <w:lang w:val="de-DE"/>
        </w:rPr>
        <w:t>Based on this background, the present study aims to conduct a comparative textual analysis of reports by Tempo and Media Indonesia on nickel mining activities in Raja Ampat throughout 2025. The focus is to reveal how media ownership, political affiliation, and editorial orientation shape the framing of environmental, economic, and public-interest issues. The study seeks to contribute to the development of media political communication scholarship, particularly within the broader discourse on development and conservation in Indonesia.</w:t>
      </w:r>
    </w:p>
    <w:p w14:paraId="68A9DB5A" w14:textId="77777777" w:rsidR="00586055" w:rsidRPr="00586055" w:rsidRDefault="00586055" w:rsidP="00586055">
      <w:pPr>
        <w:widowControl w:val="0"/>
        <w:autoSpaceDE w:val="0"/>
        <w:autoSpaceDN w:val="0"/>
        <w:adjustRightInd w:val="0"/>
        <w:spacing w:line="360" w:lineRule="auto"/>
        <w:ind w:firstLine="851"/>
        <w:jc w:val="both"/>
        <w:rPr>
          <w:color w:val="000000"/>
          <w:lang w:val="de-DE"/>
        </w:rPr>
      </w:pPr>
    </w:p>
    <w:p w14:paraId="57510AFF" w14:textId="77777777" w:rsidR="00586055" w:rsidRPr="00586055" w:rsidRDefault="00586055" w:rsidP="00586055">
      <w:pPr>
        <w:widowControl w:val="0"/>
        <w:autoSpaceDE w:val="0"/>
        <w:autoSpaceDN w:val="0"/>
        <w:adjustRightInd w:val="0"/>
        <w:spacing w:line="360" w:lineRule="auto"/>
        <w:jc w:val="both"/>
        <w:rPr>
          <w:b/>
          <w:bCs/>
          <w:color w:val="000000"/>
          <w:lang w:val="de-DE"/>
        </w:rPr>
      </w:pPr>
      <w:r w:rsidRPr="00586055">
        <w:rPr>
          <w:b/>
          <w:bCs/>
          <w:color w:val="000000"/>
          <w:lang w:val="de-DE"/>
        </w:rPr>
        <w:t>Background: Raja Ampat And Nickel Mining</w:t>
      </w:r>
    </w:p>
    <w:p w14:paraId="5B1FC9C7" w14:textId="77777777" w:rsidR="00586055" w:rsidRPr="00586055" w:rsidRDefault="00586055" w:rsidP="00586055">
      <w:pPr>
        <w:widowControl w:val="0"/>
        <w:autoSpaceDE w:val="0"/>
        <w:autoSpaceDN w:val="0"/>
        <w:adjustRightInd w:val="0"/>
        <w:spacing w:line="360" w:lineRule="auto"/>
        <w:ind w:firstLine="709"/>
        <w:jc w:val="both"/>
        <w:rPr>
          <w:color w:val="000000"/>
          <w:lang w:val="de-DE"/>
        </w:rPr>
      </w:pPr>
      <w:r w:rsidRPr="00586055">
        <w:rPr>
          <w:color w:val="000000"/>
          <w:lang w:val="de-DE"/>
        </w:rPr>
        <w:t>Raja Ampat is internationally recognized for its extraordinary marine biodiversity and status as a premier ecotourism destination. Designated as part of the Coral Triangle, it hosts more than 1,500 species of fish and 500 species of coral. Nickel mining in Raja Ampat has been controversial since the early 2010s, with several permits overlapping conservation zones. In 2025, five companies PT Gag Nickel, PT Anugerah Surya Pratama (ASP), PT Mulia Raymond Perkasa (MRP), PT Kawei Sejahtera Mining (KSM), and PT Nurhamwere granted or renewed licenses by the government. Environmental groups argue that mining activities threaten marine ecosystems and local livelihoods, while proponents emphasize the potential for economic development and increased national revenue from nickel exports, particularly for electric vehicle battery production.</w:t>
      </w:r>
    </w:p>
    <w:p w14:paraId="6D8CBBC5" w14:textId="77777777" w:rsidR="00586055" w:rsidRPr="00586055" w:rsidRDefault="00586055" w:rsidP="00586055">
      <w:pPr>
        <w:widowControl w:val="0"/>
        <w:autoSpaceDE w:val="0"/>
        <w:autoSpaceDN w:val="0"/>
        <w:adjustRightInd w:val="0"/>
        <w:spacing w:line="360" w:lineRule="auto"/>
        <w:ind w:firstLine="851"/>
        <w:jc w:val="both"/>
        <w:rPr>
          <w:color w:val="000000"/>
          <w:lang w:val="de-DE"/>
        </w:rPr>
      </w:pPr>
      <w:r w:rsidRPr="00586055">
        <w:rPr>
          <w:color w:val="000000"/>
          <w:lang w:val="de-DE"/>
        </w:rPr>
        <w:t xml:space="preserve">The media holds persuasive power to influence the public. The strength of the media lies in its ability to provide facts and shape what we want to know about the world, becoming a key source for opinions and ideas. Media has the capacity to influence our thinking patterns and behavior. Importantly, media possesses its own culture, which shapes political perspectives </w:t>
      </w:r>
      <w:r w:rsidRPr="00586055">
        <w:rPr>
          <w:color w:val="000000"/>
          <w:lang w:val="de-DE"/>
        </w:rPr>
        <w:lastRenderedPageBreak/>
        <w:t>and social attitudes.</w:t>
      </w:r>
    </w:p>
    <w:p w14:paraId="4B0C64A9" w14:textId="77777777" w:rsidR="00586055" w:rsidRPr="00586055" w:rsidRDefault="00586055" w:rsidP="00586055">
      <w:pPr>
        <w:widowControl w:val="0"/>
        <w:autoSpaceDE w:val="0"/>
        <w:autoSpaceDN w:val="0"/>
        <w:adjustRightInd w:val="0"/>
        <w:spacing w:line="360" w:lineRule="auto"/>
        <w:ind w:firstLine="851"/>
        <w:jc w:val="both"/>
        <w:rPr>
          <w:color w:val="000000"/>
          <w:lang w:val="de-DE"/>
        </w:rPr>
      </w:pPr>
      <w:r w:rsidRPr="00586055">
        <w:rPr>
          <w:color w:val="000000"/>
          <w:lang w:val="de-DE"/>
        </w:rPr>
        <w:t>Ideally, mass media serves as a communication system that delivers symbolic messages to the wider society with the aim of entertaining, informing, and instilling values into public life. However, when the media is dominated by those in power, it is often used primarily for political and economic interests. Similarly, in the context of capital ownership, power holders and wealthy elites frequently leverage the media to propagate their agendas systematically, even creating significant conflicts among competing class interests (Herman &amp; Chomsky, 1998:01).</w:t>
      </w:r>
    </w:p>
    <w:p w14:paraId="357E770B" w14:textId="77777777" w:rsidR="00586055" w:rsidRPr="00586055" w:rsidRDefault="00586055" w:rsidP="00586055">
      <w:pPr>
        <w:widowControl w:val="0"/>
        <w:autoSpaceDE w:val="0"/>
        <w:autoSpaceDN w:val="0"/>
        <w:adjustRightInd w:val="0"/>
        <w:spacing w:line="360" w:lineRule="auto"/>
        <w:ind w:firstLine="851"/>
        <w:jc w:val="both"/>
        <w:rPr>
          <w:color w:val="000000"/>
          <w:lang w:val="de-DE"/>
        </w:rPr>
      </w:pPr>
      <w:r w:rsidRPr="00586055">
        <w:rPr>
          <w:color w:val="000000"/>
          <w:lang w:val="de-DE"/>
        </w:rPr>
        <w:t>Mass media acts as a channel connecting communicators and audiences on a large scale, where audiences are numerous, geographically dispersed, highly heterogeneous, and subject to significant influence (Tan &amp; Wright in Liliweri, 1991). According to Downing (1990:15), the study of media political economy provides a form of critical analysis, highlighting the interconnections between media, economic structures, and political power. Consequently, the political economy perspective on media belongs to the critical paradigm, alongside cultural studies, Frankfurt School critical theory, reception theory, and semiotics.</w:t>
      </w:r>
    </w:p>
    <w:p w14:paraId="4FA9BE0E" w14:textId="77777777" w:rsidR="00586055" w:rsidRPr="00586055" w:rsidRDefault="00586055" w:rsidP="00586055">
      <w:pPr>
        <w:widowControl w:val="0"/>
        <w:autoSpaceDE w:val="0"/>
        <w:autoSpaceDN w:val="0"/>
        <w:adjustRightInd w:val="0"/>
        <w:spacing w:line="360" w:lineRule="auto"/>
        <w:ind w:firstLine="851"/>
        <w:jc w:val="both"/>
        <w:rPr>
          <w:color w:val="000000"/>
          <w:lang w:val="de-DE"/>
        </w:rPr>
      </w:pPr>
      <w:r w:rsidRPr="00586055">
        <w:rPr>
          <w:color w:val="000000"/>
          <w:lang w:val="de-DE"/>
        </w:rPr>
        <w:t>Mass media also functions as a space for the circulation of ideas that involve public interests. However, questions arise regarding the extent to which media can act fairly when mediating diverse interests and whether it positions issues proportionally. These concerns lead to assumptions that media institutions are often influenced by specific political agendas, prioritizing political objectives over broader public needs (Nasharudin, 2017:10). Understanding the study of media political economy refers to Vincent Mosco’s definition (1996:26): “Political economy is the study of control and survival in social life.”</w:t>
      </w:r>
    </w:p>
    <w:p w14:paraId="3DED0FDA" w14:textId="77777777" w:rsidR="00586055" w:rsidRPr="00586055" w:rsidRDefault="00586055" w:rsidP="00586055">
      <w:pPr>
        <w:widowControl w:val="0"/>
        <w:autoSpaceDE w:val="0"/>
        <w:autoSpaceDN w:val="0"/>
        <w:adjustRightInd w:val="0"/>
        <w:spacing w:line="360" w:lineRule="auto"/>
        <w:ind w:firstLine="851"/>
        <w:jc w:val="both"/>
        <w:rPr>
          <w:color w:val="000000"/>
          <w:lang w:val="de-DE"/>
        </w:rPr>
      </w:pPr>
      <w:r w:rsidRPr="00586055">
        <w:rPr>
          <w:color w:val="000000"/>
          <w:lang w:val="de-DE"/>
        </w:rPr>
        <w:t xml:space="preserve">This highlights that political economy is closely related to media ownership, production, consumption, distribution, power dynamics, relationships with political elites, and media’s role in shaping civilization. These theoretical perspectives can be observed in how different ownership structures influence reporting styles, as seen in the coverage of nickel mining activities in Raja Ampat by Media Indonesia and Tempo.For instance, an article titled “Five Mining Companies Operating in Raja Ampat”, published by Media Indonesia on June 8, 2025, emphasizes ongoing mining operations by companies with government approval in the region. Dr. Ir. Hatma Suryatmojo, S.Hut., M.Si, a forestry expert from Universitas Gadjah Mada (UGM), stressed the need for strict regulatory procedures for mining activities in protected forest areas. The report frames the government’s issuance of 16 Mining Business </w:t>
      </w:r>
      <w:r w:rsidRPr="00586055">
        <w:rPr>
          <w:color w:val="000000"/>
          <w:lang w:val="de-DE"/>
        </w:rPr>
        <w:lastRenderedPageBreak/>
        <w:t>Permits (IUPs) in Raja Ampat, of which 13 overlap with the Raja Ampat Geopark area, in a way that appears supportive of the government’s decision to allow five companies to continue operating.</w:t>
      </w:r>
    </w:p>
    <w:p w14:paraId="4A860632" w14:textId="77777777" w:rsidR="00586055" w:rsidRPr="00586055" w:rsidRDefault="00586055" w:rsidP="00586055">
      <w:pPr>
        <w:widowControl w:val="0"/>
        <w:autoSpaceDE w:val="0"/>
        <w:autoSpaceDN w:val="0"/>
        <w:adjustRightInd w:val="0"/>
        <w:spacing w:line="360" w:lineRule="auto"/>
        <w:ind w:firstLine="851"/>
        <w:jc w:val="both"/>
        <w:rPr>
          <w:color w:val="000000"/>
          <w:lang w:val="de-DE"/>
        </w:rPr>
      </w:pPr>
      <w:r w:rsidRPr="00586055">
        <w:rPr>
          <w:color w:val="000000"/>
          <w:lang w:val="de-DE"/>
        </w:rPr>
        <w:t>In contrast, Tempo published an article on June 13, 2025, titled “Nickel Mining Permit Controversy in Raja Ampat”, which presents the issue through a critical lens, focusing on strategic economic interests and the exploitation of natural resources. Tempo highlights negative sentiments toward certain stakeholders involved in the mining projects, emphasizing potential threats to the ecosystem and local livelihoods. The differences in framing between Media Indonesia and Tempo demonstrate how media political economy practices shape reporting styles and influence public perceptions. This study aims to analyze the relationship between media ownership, political interests, and reporting styles in covering the nickel mining controversy in Raja Ampat, particularly during the third quarter of 2025, using a textual analysis approach.</w:t>
      </w:r>
    </w:p>
    <w:p w14:paraId="102696A8" w14:textId="77777777" w:rsidR="00586055" w:rsidRDefault="00586055" w:rsidP="00F249B1">
      <w:pPr>
        <w:widowControl w:val="0"/>
        <w:autoSpaceDE w:val="0"/>
        <w:autoSpaceDN w:val="0"/>
        <w:adjustRightInd w:val="0"/>
        <w:spacing w:line="360" w:lineRule="auto"/>
        <w:jc w:val="both"/>
        <w:rPr>
          <w:color w:val="000000"/>
          <w:lang w:val="de-DE"/>
        </w:rPr>
      </w:pPr>
    </w:p>
    <w:p w14:paraId="38B7E3CB" w14:textId="6E749BAB" w:rsidR="00586055" w:rsidRDefault="00586055" w:rsidP="00F249B1">
      <w:pPr>
        <w:widowControl w:val="0"/>
        <w:autoSpaceDE w:val="0"/>
        <w:autoSpaceDN w:val="0"/>
        <w:adjustRightInd w:val="0"/>
        <w:spacing w:line="360" w:lineRule="auto"/>
        <w:jc w:val="both"/>
        <w:rPr>
          <w:rFonts w:eastAsia="Times New Roman"/>
          <w:b/>
          <w:bCs/>
          <w:lang w:val="de-DE"/>
        </w:rPr>
      </w:pPr>
      <w:r>
        <w:rPr>
          <w:color w:val="000000"/>
          <w:lang w:val="de-DE"/>
        </w:rPr>
        <w:t xml:space="preserve"> </w:t>
      </w:r>
      <w:r w:rsidRPr="00586055">
        <w:rPr>
          <w:rFonts w:eastAsia="Times New Roman"/>
          <w:b/>
          <w:bCs/>
          <w:lang w:val="de-DE"/>
        </w:rPr>
        <w:t>LITERATURE REVIEW AND THEORETICAL FRAMEWORK</w:t>
      </w:r>
    </w:p>
    <w:p w14:paraId="4B07400C" w14:textId="77777777" w:rsidR="00586055" w:rsidRPr="009571DE" w:rsidRDefault="00586055" w:rsidP="00586055">
      <w:pPr>
        <w:spacing w:after="240" w:line="360" w:lineRule="auto"/>
        <w:ind w:firstLine="720"/>
        <w:jc w:val="both"/>
      </w:pPr>
      <w:r w:rsidRPr="009571DE">
        <w:t>Media representations of environmental and political issues are shaped by complex interactions between institutional structures, ownership patterns, editorial ideologies, and communicative practices. This section outlines the theoretical foundations used to analyze how Tempo and Media Indonesia construct narratives about nickel mining in Raja Ampat.</w:t>
      </w:r>
    </w:p>
    <w:p w14:paraId="1E554BB4" w14:textId="77777777" w:rsidR="00586055" w:rsidRPr="009571DE" w:rsidRDefault="00586055" w:rsidP="00586055">
      <w:pPr>
        <w:spacing w:line="360" w:lineRule="auto"/>
        <w:jc w:val="both"/>
        <w:rPr>
          <w:b/>
          <w:bCs/>
        </w:rPr>
      </w:pPr>
      <w:r w:rsidRPr="009571DE">
        <w:rPr>
          <w:b/>
          <w:bCs/>
        </w:rPr>
        <w:t>1. Framing Theory</w:t>
      </w:r>
    </w:p>
    <w:p w14:paraId="4945F442" w14:textId="77777777" w:rsidR="00586055" w:rsidRPr="009571DE" w:rsidRDefault="00586055" w:rsidP="00586055">
      <w:pPr>
        <w:spacing w:line="360" w:lineRule="auto"/>
        <w:ind w:firstLine="720"/>
        <w:jc w:val="both"/>
      </w:pPr>
      <w:r w:rsidRPr="009571DE">
        <w:t xml:space="preserve">Framing theory, as articulated by </w:t>
      </w:r>
      <w:proofErr w:type="spellStart"/>
      <w:r w:rsidRPr="009571DE">
        <w:t>Entman</w:t>
      </w:r>
      <w:proofErr w:type="spellEnd"/>
      <w:r w:rsidRPr="009571DE">
        <w:t xml:space="preserve"> (1993), explains how media highlight certain aspects of reality to make them more salient. </w:t>
      </w:r>
      <w:proofErr w:type="spellStart"/>
      <w:r w:rsidRPr="009571DE">
        <w:t>Entman</w:t>
      </w:r>
      <w:proofErr w:type="spellEnd"/>
      <w:r w:rsidRPr="009571DE">
        <w:t xml:space="preserve"> identifies four core framing functions: problem definition, causal diagnosis, moral evaluation, and treatment recommendation. Within this study, framing theory enables the identification of how each media outlet emphasizes different dimensions of the mining issue—Tempo foregrounding environmental risks and community concerns, while Media Indonesia foregrounds economic development and government policy.</w:t>
      </w:r>
    </w:p>
    <w:p w14:paraId="1BB866D7" w14:textId="77777777" w:rsidR="00586055" w:rsidRPr="009571DE" w:rsidRDefault="00586055" w:rsidP="00586055">
      <w:pPr>
        <w:spacing w:after="240" w:line="360" w:lineRule="auto"/>
        <w:ind w:firstLine="720"/>
        <w:jc w:val="both"/>
      </w:pPr>
      <w:r w:rsidRPr="009571DE">
        <w:t xml:space="preserve">Pan and </w:t>
      </w:r>
      <w:proofErr w:type="spellStart"/>
      <w:r w:rsidRPr="009571DE">
        <w:t>Kosicki’s</w:t>
      </w:r>
      <w:proofErr w:type="spellEnd"/>
      <w:r w:rsidRPr="009571DE">
        <w:t xml:space="preserve"> (1993) structural framing model further </w:t>
      </w:r>
      <w:proofErr w:type="gramStart"/>
      <w:r w:rsidRPr="009571DE">
        <w:t>guides</w:t>
      </w:r>
      <w:proofErr w:type="gramEnd"/>
      <w:r w:rsidRPr="009571DE">
        <w:t xml:space="preserve"> the textual analysis by examining framing through four dimensions: syntactic (headline and lead structure), script (news narrative flow), thematic (contextual interpretation), and rhetorical structures (word choices, metaphors, and imagery). These dimensions help uncover deeper ideological orientations embedded in the reporting.</w:t>
      </w:r>
    </w:p>
    <w:p w14:paraId="262D5DA6" w14:textId="77777777" w:rsidR="00586055" w:rsidRPr="009571DE" w:rsidRDefault="00586055" w:rsidP="00586055">
      <w:pPr>
        <w:spacing w:line="360" w:lineRule="auto"/>
        <w:jc w:val="both"/>
        <w:rPr>
          <w:b/>
          <w:bCs/>
        </w:rPr>
      </w:pPr>
      <w:r w:rsidRPr="009571DE">
        <w:rPr>
          <w:b/>
          <w:bCs/>
        </w:rPr>
        <w:lastRenderedPageBreak/>
        <w:t>2. Political Economy of Media</w:t>
      </w:r>
    </w:p>
    <w:p w14:paraId="356E6A45" w14:textId="77777777" w:rsidR="00586055" w:rsidRPr="009571DE" w:rsidRDefault="00586055" w:rsidP="00586055">
      <w:pPr>
        <w:spacing w:after="240" w:line="360" w:lineRule="auto"/>
        <w:ind w:firstLine="720"/>
        <w:jc w:val="both"/>
      </w:pPr>
      <w:r w:rsidRPr="009571DE">
        <w:t>The political economy perspective, grounded in the works of Mosco (2009) and Herman &amp; Chomsky (1998), provides a critical lens to analyze how media ownership, market structures, and political affiliations influence news production. This approach asserts that media institutions are shaped by broader economic and political forces that determine which narratives are amplified or marginalized. In the Indonesian context, media conglomeration and political patronage create structural dependencies that affect editorial autonomy. Tempo’s long-standing reputation for investigative journalism contrasts with the more government-aligned orientation of Media Indonesia, illustrating how ownership patterns can shape framing strategies. The political economy approach thus reveals how economic interests and political alliances influence the portrayal of development and environmental issues.</w:t>
      </w:r>
    </w:p>
    <w:p w14:paraId="6EB58239" w14:textId="77777777" w:rsidR="00586055" w:rsidRPr="009571DE" w:rsidRDefault="00586055" w:rsidP="00586055">
      <w:pPr>
        <w:spacing w:line="360" w:lineRule="auto"/>
        <w:jc w:val="both"/>
        <w:rPr>
          <w:b/>
          <w:bCs/>
        </w:rPr>
      </w:pPr>
      <w:r w:rsidRPr="009571DE">
        <w:rPr>
          <w:b/>
          <w:bCs/>
        </w:rPr>
        <w:t>3. Media Logic</w:t>
      </w:r>
    </w:p>
    <w:p w14:paraId="4451B001" w14:textId="77777777" w:rsidR="00586055" w:rsidRPr="009571DE" w:rsidRDefault="00586055" w:rsidP="00586055">
      <w:pPr>
        <w:spacing w:after="240" w:line="360" w:lineRule="auto"/>
        <w:ind w:firstLine="720"/>
        <w:jc w:val="both"/>
      </w:pPr>
      <w:r w:rsidRPr="009571DE">
        <w:t>Altheide and Snow’s (1979) concept of media logic emphasizes that media organizations operate using specific formats, routines, and production norms that shape the selection and presentation of content. Media logic also explains the homogenization of news practices, where outlets closely aligned with government institutions may rely heavily on official statements and press releases. Understanding media logic helps explain why Media Indonesia tends to prioritize government voices and regulatory narratives, while Tempo deviates from standardized routines through investigative approaches that highlight alternative perspectives.</w:t>
      </w:r>
    </w:p>
    <w:p w14:paraId="2081C553" w14:textId="77777777" w:rsidR="00586055" w:rsidRPr="009571DE" w:rsidRDefault="00586055" w:rsidP="00586055">
      <w:pPr>
        <w:spacing w:line="360" w:lineRule="auto"/>
        <w:jc w:val="both"/>
        <w:rPr>
          <w:b/>
          <w:bCs/>
        </w:rPr>
      </w:pPr>
      <w:r w:rsidRPr="009571DE">
        <w:rPr>
          <w:b/>
          <w:bCs/>
        </w:rPr>
        <w:t>4. Agenda-Setting Theory</w:t>
      </w:r>
    </w:p>
    <w:p w14:paraId="2D7BB395" w14:textId="46B80306" w:rsidR="00586055" w:rsidRPr="00895EFC" w:rsidRDefault="00586055" w:rsidP="00586055">
      <w:pPr>
        <w:spacing w:after="240" w:line="360" w:lineRule="auto"/>
        <w:ind w:firstLine="720"/>
        <w:jc w:val="both"/>
      </w:pPr>
      <w:r w:rsidRPr="00895EFC">
        <w:t xml:space="preserve">Agenda-setting theory (McCombs &amp; Shaw, 1972) argues that media influence what issues the public perceives as important. In resource-rich regions like Raja Ampat, the choice of which aspects of mining activities to </w:t>
      </w:r>
      <w:proofErr w:type="spellStart"/>
      <w:r w:rsidRPr="00895EFC">
        <w:t>highlighteconomic</w:t>
      </w:r>
      <w:proofErr w:type="spellEnd"/>
      <w:r w:rsidRPr="00895EFC">
        <w:t xml:space="preserve"> benefits or environmental risks significantly shapes policy debates and public discourse. In this study, Media Indonesia reinforces development-oriented agendas by focusing on economic growth and government legitimacy, while Tempo elevates environmental and social concerns, pushing sustainability issues into public awareness.</w:t>
      </w:r>
    </w:p>
    <w:p w14:paraId="2634C9E4" w14:textId="7C3779BA" w:rsidR="00586055" w:rsidRPr="00895EFC" w:rsidRDefault="00586055" w:rsidP="00586055">
      <w:pPr>
        <w:widowControl w:val="0"/>
        <w:autoSpaceDE w:val="0"/>
        <w:autoSpaceDN w:val="0"/>
        <w:adjustRightInd w:val="0"/>
        <w:spacing w:line="360" w:lineRule="auto"/>
        <w:jc w:val="both"/>
        <w:rPr>
          <w:b/>
          <w:bCs/>
          <w:color w:val="000000"/>
          <w:lang w:val="de-DE"/>
        </w:rPr>
      </w:pPr>
      <w:r w:rsidRPr="00895EFC">
        <w:rPr>
          <w:b/>
          <w:bCs/>
          <w:color w:val="000000"/>
          <w:lang w:val="de-DE"/>
        </w:rPr>
        <w:t>METHODS</w:t>
      </w:r>
    </w:p>
    <w:p w14:paraId="68F8AEED" w14:textId="77777777" w:rsidR="00586055" w:rsidRPr="00895EFC" w:rsidRDefault="00586055" w:rsidP="00586055">
      <w:pPr>
        <w:spacing w:line="360" w:lineRule="auto"/>
        <w:ind w:firstLine="720"/>
        <w:jc w:val="both"/>
      </w:pPr>
      <w:r w:rsidRPr="00895EFC">
        <w:t xml:space="preserve">This study examined a corpus of 12 articles published between May and June 2025: six from Tempo Online and six from Media Indonesia Online. The articles were selected based on </w:t>
      </w:r>
      <w:r w:rsidRPr="00895EFC">
        <w:lastRenderedPageBreak/>
        <w:t xml:space="preserve">their relevance to the nickel mining controversy in Raja Ampat. The analysis employed a coding scheme adapted from Pan and </w:t>
      </w:r>
      <w:proofErr w:type="spellStart"/>
      <w:r w:rsidRPr="00895EFC">
        <w:t>Kosicki</w:t>
      </w:r>
      <w:proofErr w:type="spellEnd"/>
      <w:r w:rsidRPr="00895EFC">
        <w:t xml:space="preserve"> (1993) focusing on headline tone, lexical choices, source selection, and narrative structure. Each article was coded twice to ensure intercoder reliability. The analysis followed three stages: (1) identifying dominant frames and subframes in each article; (2) comparing lexical and rhetorical patterns; and (3) evaluating the relationship between media ownership and framing strategies. This triangulation method enhanced the validity of the findings.</w:t>
      </w:r>
    </w:p>
    <w:p w14:paraId="275BAA1E" w14:textId="77777777" w:rsidR="00586055" w:rsidRPr="00895EFC" w:rsidRDefault="00586055" w:rsidP="00586055">
      <w:pPr>
        <w:spacing w:line="360" w:lineRule="auto"/>
        <w:ind w:firstLine="720"/>
        <w:jc w:val="both"/>
      </w:pPr>
      <w:r w:rsidRPr="00895EFC">
        <w:t xml:space="preserve">This research employs a qualitative descriptive research method. According to Bogdan and Taylor </w:t>
      </w:r>
      <w:r w:rsidRPr="00895EFC">
        <w:rPr>
          <w:i/>
          <w:iCs/>
        </w:rPr>
        <w:t xml:space="preserve">(in </w:t>
      </w:r>
      <w:proofErr w:type="spellStart"/>
      <w:r w:rsidRPr="00895EFC">
        <w:rPr>
          <w:i/>
          <w:iCs/>
        </w:rPr>
        <w:t>Moleong</w:t>
      </w:r>
      <w:proofErr w:type="spellEnd"/>
      <w:r w:rsidRPr="00895EFC">
        <w:rPr>
          <w:i/>
          <w:iCs/>
        </w:rPr>
        <w:t>, 2012:4)</w:t>
      </w:r>
      <w:r w:rsidRPr="00895EFC">
        <w:t xml:space="preserve">, qualitative methodology is defined as a research procedure that produces descriptive data in the form of written or spoken words from observed individuals and behaviors. In qualitative research, the researcher studies various phenomena within their natural settings, attempting to understand these phenomena based on the meanings constructed by the people involved </w:t>
      </w:r>
      <w:r w:rsidRPr="00895EFC">
        <w:rPr>
          <w:i/>
          <w:iCs/>
        </w:rPr>
        <w:t xml:space="preserve">(Denzin &amp; Lincoln, in </w:t>
      </w:r>
      <w:proofErr w:type="spellStart"/>
      <w:r w:rsidRPr="00895EFC">
        <w:rPr>
          <w:i/>
          <w:iCs/>
        </w:rPr>
        <w:t>Suwarsono</w:t>
      </w:r>
      <w:proofErr w:type="spellEnd"/>
      <w:r w:rsidRPr="00895EFC">
        <w:rPr>
          <w:i/>
          <w:iCs/>
        </w:rPr>
        <w:t>, 2016)</w:t>
      </w:r>
      <w:r w:rsidRPr="00895EFC">
        <w:t xml:space="preserve">. According to Fraenkel &amp; Wallen </w:t>
      </w:r>
      <w:r w:rsidRPr="00895EFC">
        <w:rPr>
          <w:i/>
          <w:iCs/>
        </w:rPr>
        <w:t>(1990)</w:t>
      </w:r>
      <w:r w:rsidRPr="00895EFC">
        <w:t xml:space="preserve">, qualitative research focuses on processes, with researchers primarily interested in understanding how and why events occur </w:t>
      </w:r>
      <w:r w:rsidRPr="00895EFC">
        <w:rPr>
          <w:i/>
          <w:iCs/>
        </w:rPr>
        <w:t>(</w:t>
      </w:r>
      <w:proofErr w:type="spellStart"/>
      <w:r w:rsidRPr="00895EFC">
        <w:rPr>
          <w:i/>
          <w:iCs/>
        </w:rPr>
        <w:t>Nasharudin</w:t>
      </w:r>
      <w:proofErr w:type="spellEnd"/>
      <w:r w:rsidRPr="00895EFC">
        <w:rPr>
          <w:i/>
          <w:iCs/>
        </w:rPr>
        <w:t>, 2017:56)</w:t>
      </w:r>
      <w:r w:rsidRPr="00895EFC">
        <w:t>.</w:t>
      </w:r>
    </w:p>
    <w:p w14:paraId="029A0995" w14:textId="77777777" w:rsidR="00586055" w:rsidRPr="00895EFC" w:rsidRDefault="00586055" w:rsidP="00895EFC">
      <w:pPr>
        <w:spacing w:after="240" w:line="360" w:lineRule="auto"/>
        <w:ind w:firstLine="720"/>
        <w:jc w:val="both"/>
      </w:pPr>
      <w:r w:rsidRPr="00895EFC">
        <w:t xml:space="preserve">Furthermore, </w:t>
      </w:r>
      <w:proofErr w:type="spellStart"/>
      <w:r w:rsidRPr="00895EFC">
        <w:t>Moleong</w:t>
      </w:r>
      <w:proofErr w:type="spellEnd"/>
      <w:r w:rsidRPr="00895EFC">
        <w:t xml:space="preserve"> </w:t>
      </w:r>
      <w:r w:rsidRPr="00895EFC">
        <w:rPr>
          <w:i/>
          <w:iCs/>
        </w:rPr>
        <w:t>(2005:10)</w:t>
      </w:r>
      <w:r w:rsidRPr="00895EFC">
        <w:t xml:space="preserve"> explains that qualitative descriptive research is an approach where the data collected consists of words, images, and not numbers. Such data can be obtained from interviews, field notes, photographs, video recordings, personal documents, archives, memos, and other forms of documentation </w:t>
      </w:r>
      <w:r w:rsidRPr="00895EFC">
        <w:rPr>
          <w:i/>
          <w:iCs/>
        </w:rPr>
        <w:t>(</w:t>
      </w:r>
      <w:proofErr w:type="spellStart"/>
      <w:r w:rsidRPr="00895EFC">
        <w:rPr>
          <w:i/>
          <w:iCs/>
        </w:rPr>
        <w:t>Moleong</w:t>
      </w:r>
      <w:proofErr w:type="spellEnd"/>
      <w:r w:rsidRPr="00895EFC">
        <w:rPr>
          <w:i/>
          <w:iCs/>
        </w:rPr>
        <w:t>, 2005:4)</w:t>
      </w:r>
      <w:r w:rsidRPr="00895EFC">
        <w:t>. This study employed a qualitative descriptive research design using a comparative textual analysis approach to examine how Tempo and Media Indonesia framed the nickel mining controversy in Raja Ampat. The methodology integrates framing analysis, political economy perspectives, and textual examination to uncover structural differences in reporting practices.</w:t>
      </w:r>
    </w:p>
    <w:p w14:paraId="25975B50" w14:textId="77777777" w:rsidR="00586055" w:rsidRPr="00895EFC" w:rsidRDefault="00586055" w:rsidP="00586055">
      <w:pPr>
        <w:spacing w:line="360" w:lineRule="auto"/>
        <w:jc w:val="both"/>
        <w:rPr>
          <w:b/>
          <w:bCs/>
        </w:rPr>
      </w:pPr>
      <w:r w:rsidRPr="00895EFC">
        <w:rPr>
          <w:b/>
          <w:bCs/>
        </w:rPr>
        <w:t>1. Research Design</w:t>
      </w:r>
    </w:p>
    <w:p w14:paraId="4497FECC" w14:textId="2663EAD5" w:rsidR="00586055" w:rsidRDefault="00586055" w:rsidP="00895EFC">
      <w:pPr>
        <w:spacing w:after="240" w:line="360" w:lineRule="auto"/>
        <w:ind w:firstLine="720"/>
        <w:jc w:val="both"/>
      </w:pPr>
      <w:r w:rsidRPr="00895EFC">
        <w:t xml:space="preserve">This research follows a qualitative descriptive methodology, which focuses on interpreting meaning, context, and discursive patterns within news texts. According to Bogdan and Taylor (in </w:t>
      </w:r>
      <w:proofErr w:type="spellStart"/>
      <w:r w:rsidRPr="00895EFC">
        <w:t>Moleong</w:t>
      </w:r>
      <w:proofErr w:type="spellEnd"/>
      <w:r w:rsidRPr="00895EFC">
        <w:t>, 2012), qualitative methods generate descriptive data in the form of written or spoken words. This approach allows the researcher to explore how media outlets construct social realities through language, narrative organization, and sourcing patterns.</w:t>
      </w:r>
    </w:p>
    <w:p w14:paraId="6234AF20" w14:textId="1A2F5A99" w:rsidR="00895EFC" w:rsidRDefault="00895EFC" w:rsidP="00895EFC">
      <w:pPr>
        <w:spacing w:after="240" w:line="360" w:lineRule="auto"/>
        <w:ind w:firstLine="720"/>
        <w:jc w:val="both"/>
      </w:pPr>
    </w:p>
    <w:p w14:paraId="25B35409" w14:textId="77777777" w:rsidR="00895EFC" w:rsidRPr="00895EFC" w:rsidRDefault="00895EFC" w:rsidP="00895EFC">
      <w:pPr>
        <w:spacing w:after="240" w:line="360" w:lineRule="auto"/>
        <w:ind w:firstLine="720"/>
        <w:jc w:val="both"/>
      </w:pPr>
    </w:p>
    <w:p w14:paraId="1616A4D7" w14:textId="77777777" w:rsidR="00586055" w:rsidRPr="00895EFC" w:rsidRDefault="00586055" w:rsidP="00586055">
      <w:pPr>
        <w:spacing w:line="360" w:lineRule="auto"/>
        <w:jc w:val="both"/>
        <w:rPr>
          <w:b/>
          <w:bCs/>
        </w:rPr>
      </w:pPr>
      <w:r w:rsidRPr="00895EFC">
        <w:rPr>
          <w:b/>
          <w:bCs/>
        </w:rPr>
        <w:lastRenderedPageBreak/>
        <w:t>2. Data Sources and Corpus Selection</w:t>
      </w:r>
    </w:p>
    <w:p w14:paraId="7DBE7F94" w14:textId="77777777" w:rsidR="00586055" w:rsidRPr="00895EFC" w:rsidRDefault="00586055" w:rsidP="00586055">
      <w:pPr>
        <w:spacing w:line="360" w:lineRule="auto"/>
        <w:ind w:firstLine="720"/>
        <w:jc w:val="both"/>
      </w:pPr>
      <w:r w:rsidRPr="00895EFC">
        <w:t>A total of 12 online news articles published between May and June 2025 were selected as the primary corpus: six articles from Tempo Online and six from Media Indonesia Online. These articles were chosen based on three criteria:</w:t>
      </w:r>
    </w:p>
    <w:p w14:paraId="103148CE" w14:textId="77777777" w:rsidR="00586055" w:rsidRPr="00895EFC" w:rsidRDefault="00586055" w:rsidP="005B1DD8">
      <w:pPr>
        <w:numPr>
          <w:ilvl w:val="0"/>
          <w:numId w:val="1"/>
        </w:numPr>
        <w:tabs>
          <w:tab w:val="clear" w:pos="720"/>
        </w:tabs>
        <w:spacing w:line="360" w:lineRule="auto"/>
        <w:ind w:left="426" w:hanging="426"/>
        <w:jc w:val="both"/>
      </w:pPr>
      <w:r w:rsidRPr="00895EFC">
        <w:t>Relevance to nickel mining activities in Raja Ampat.</w:t>
      </w:r>
    </w:p>
    <w:p w14:paraId="76A6F58B" w14:textId="77777777" w:rsidR="00895EFC" w:rsidRPr="00895EFC" w:rsidRDefault="00586055" w:rsidP="005B1DD8">
      <w:pPr>
        <w:numPr>
          <w:ilvl w:val="0"/>
          <w:numId w:val="1"/>
        </w:numPr>
        <w:tabs>
          <w:tab w:val="clear" w:pos="720"/>
        </w:tabs>
        <w:spacing w:line="360" w:lineRule="auto"/>
        <w:ind w:left="426" w:hanging="426"/>
        <w:jc w:val="both"/>
      </w:pPr>
      <w:r w:rsidRPr="00895EFC">
        <w:t xml:space="preserve">Alignment with the study’s timeframe </w:t>
      </w:r>
    </w:p>
    <w:p w14:paraId="4266E140" w14:textId="41766900" w:rsidR="00586055" w:rsidRPr="00895EFC" w:rsidRDefault="00586055" w:rsidP="005B1DD8">
      <w:pPr>
        <w:numPr>
          <w:ilvl w:val="0"/>
          <w:numId w:val="1"/>
        </w:numPr>
        <w:tabs>
          <w:tab w:val="clear" w:pos="720"/>
        </w:tabs>
        <w:spacing w:line="360" w:lineRule="auto"/>
        <w:ind w:left="426" w:hanging="426"/>
        <w:jc w:val="both"/>
      </w:pPr>
      <w:r w:rsidRPr="00895EFC">
        <w:t>Representation of each outlet’s coverage tone and editorial orientation.</w:t>
      </w:r>
    </w:p>
    <w:p w14:paraId="7FDC3E1F" w14:textId="77777777" w:rsidR="00586055" w:rsidRPr="00895EFC" w:rsidRDefault="00586055" w:rsidP="00895EFC">
      <w:pPr>
        <w:spacing w:after="240" w:line="360" w:lineRule="auto"/>
        <w:ind w:firstLine="720"/>
        <w:jc w:val="both"/>
      </w:pPr>
      <w:r w:rsidRPr="00895EFC">
        <w:t>Additional supporting data were collected from government publications, NGO reports, academic literature, and environmental policy documents to enhance contextual interpretation and triangulation.</w:t>
      </w:r>
    </w:p>
    <w:p w14:paraId="4CC13C89" w14:textId="77777777" w:rsidR="00586055" w:rsidRPr="00895EFC" w:rsidRDefault="00586055" w:rsidP="00586055">
      <w:pPr>
        <w:spacing w:line="360" w:lineRule="auto"/>
        <w:jc w:val="both"/>
        <w:rPr>
          <w:b/>
          <w:bCs/>
        </w:rPr>
      </w:pPr>
      <w:r w:rsidRPr="00895EFC">
        <w:rPr>
          <w:b/>
          <w:bCs/>
        </w:rPr>
        <w:t>3. Analytical Framework</w:t>
      </w:r>
    </w:p>
    <w:p w14:paraId="2C3C2571" w14:textId="77777777" w:rsidR="00586055" w:rsidRPr="00895EFC" w:rsidRDefault="00586055" w:rsidP="00586055">
      <w:pPr>
        <w:spacing w:line="360" w:lineRule="auto"/>
        <w:jc w:val="both"/>
      </w:pPr>
      <w:r w:rsidRPr="00895EFC">
        <w:t>The analysis follows a three-stage process:</w:t>
      </w:r>
    </w:p>
    <w:p w14:paraId="1A753971" w14:textId="77777777" w:rsidR="00586055" w:rsidRPr="00895EFC" w:rsidRDefault="00586055" w:rsidP="005B1DD8">
      <w:pPr>
        <w:numPr>
          <w:ilvl w:val="0"/>
          <w:numId w:val="2"/>
        </w:numPr>
        <w:tabs>
          <w:tab w:val="clear" w:pos="720"/>
        </w:tabs>
        <w:spacing w:line="360" w:lineRule="auto"/>
        <w:ind w:left="426" w:hanging="426"/>
        <w:jc w:val="both"/>
      </w:pPr>
      <w:r w:rsidRPr="00895EFC">
        <w:t xml:space="preserve">Identification of Dominant Frames Each article was coded to identify problem definitions, causal interpretations, moral evaluations, and solution frames, based on </w:t>
      </w:r>
      <w:proofErr w:type="spellStart"/>
      <w:r w:rsidRPr="00895EFC">
        <w:t>Entman’s</w:t>
      </w:r>
      <w:proofErr w:type="spellEnd"/>
      <w:r w:rsidRPr="00895EFC">
        <w:t xml:space="preserve"> (1993) framing model.</w:t>
      </w:r>
    </w:p>
    <w:p w14:paraId="1E297247" w14:textId="77777777" w:rsidR="00586055" w:rsidRPr="00895EFC" w:rsidRDefault="00586055" w:rsidP="005B1DD8">
      <w:pPr>
        <w:numPr>
          <w:ilvl w:val="0"/>
          <w:numId w:val="2"/>
        </w:numPr>
        <w:tabs>
          <w:tab w:val="clear" w:pos="720"/>
        </w:tabs>
        <w:spacing w:line="360" w:lineRule="auto"/>
        <w:ind w:left="426" w:hanging="426"/>
        <w:jc w:val="both"/>
      </w:pPr>
      <w:r w:rsidRPr="00895EFC">
        <w:t xml:space="preserve">Structural Analysis Using Pan &amp; </w:t>
      </w:r>
      <w:proofErr w:type="spellStart"/>
      <w:r w:rsidRPr="00895EFC">
        <w:t>Kosicki’s</w:t>
      </w:r>
      <w:proofErr w:type="spellEnd"/>
      <w:r w:rsidRPr="00895EFC">
        <w:t xml:space="preserve"> Framework (1993) The articles were examined through syntactic structures (headlines, leads), script structures (narrative flow), thematic structures (contextual coherence), and rhetorical structures (lexical choices, metaphors, quotations).</w:t>
      </w:r>
    </w:p>
    <w:p w14:paraId="3711D98C" w14:textId="77777777" w:rsidR="00586055" w:rsidRPr="00895EFC" w:rsidRDefault="00586055" w:rsidP="005B1DD8">
      <w:pPr>
        <w:numPr>
          <w:ilvl w:val="0"/>
          <w:numId w:val="2"/>
        </w:numPr>
        <w:tabs>
          <w:tab w:val="clear" w:pos="720"/>
        </w:tabs>
        <w:spacing w:after="240" w:line="360" w:lineRule="auto"/>
        <w:ind w:left="426" w:hanging="426"/>
        <w:jc w:val="both"/>
      </w:pPr>
      <w:r w:rsidRPr="00895EFC">
        <w:t>Comparative Analysis The findings from Tempo and Media Indonesia were contrasted to reveal structural differences in framing, source selection, and ideological orientation.</w:t>
      </w:r>
    </w:p>
    <w:p w14:paraId="4B0E41A0" w14:textId="77777777" w:rsidR="00586055" w:rsidRPr="00895EFC" w:rsidRDefault="00586055" w:rsidP="00586055">
      <w:pPr>
        <w:spacing w:line="360" w:lineRule="auto"/>
        <w:jc w:val="both"/>
        <w:rPr>
          <w:b/>
          <w:bCs/>
        </w:rPr>
      </w:pPr>
      <w:r w:rsidRPr="00895EFC">
        <w:rPr>
          <w:b/>
          <w:bCs/>
        </w:rPr>
        <w:t>4. Coding Procedure and Reliability</w:t>
      </w:r>
    </w:p>
    <w:p w14:paraId="7CF86BA4" w14:textId="77777777" w:rsidR="00586055" w:rsidRPr="00895EFC" w:rsidRDefault="00586055" w:rsidP="00895EFC">
      <w:pPr>
        <w:spacing w:line="360" w:lineRule="auto"/>
        <w:ind w:firstLine="720"/>
        <w:jc w:val="both"/>
      </w:pPr>
      <w:r w:rsidRPr="00895EFC">
        <w:t>To enhance analytical rigor, each article was coded independently twice. Coding categories included:</w:t>
      </w:r>
    </w:p>
    <w:p w14:paraId="61466E95" w14:textId="77777777" w:rsidR="00586055" w:rsidRPr="00895EFC" w:rsidRDefault="00586055" w:rsidP="005B1DD8">
      <w:pPr>
        <w:numPr>
          <w:ilvl w:val="0"/>
          <w:numId w:val="3"/>
        </w:numPr>
        <w:tabs>
          <w:tab w:val="clear" w:pos="720"/>
        </w:tabs>
        <w:spacing w:line="360" w:lineRule="auto"/>
        <w:ind w:left="426" w:hanging="426"/>
        <w:jc w:val="both"/>
      </w:pPr>
      <w:r w:rsidRPr="00895EFC">
        <w:t>Headline tone (positive, negative, neutral)</w:t>
      </w:r>
    </w:p>
    <w:p w14:paraId="660D3BA5" w14:textId="77777777" w:rsidR="00586055" w:rsidRPr="00895EFC" w:rsidRDefault="00586055" w:rsidP="005B1DD8">
      <w:pPr>
        <w:numPr>
          <w:ilvl w:val="0"/>
          <w:numId w:val="3"/>
        </w:numPr>
        <w:tabs>
          <w:tab w:val="clear" w:pos="720"/>
        </w:tabs>
        <w:spacing w:line="360" w:lineRule="auto"/>
        <w:ind w:left="426" w:hanging="426"/>
        <w:jc w:val="both"/>
      </w:pPr>
      <w:r w:rsidRPr="00895EFC">
        <w:t>Lexical indicators of bias</w:t>
      </w:r>
    </w:p>
    <w:p w14:paraId="24B609E7" w14:textId="77777777" w:rsidR="00586055" w:rsidRPr="00895EFC" w:rsidRDefault="00586055" w:rsidP="005B1DD8">
      <w:pPr>
        <w:numPr>
          <w:ilvl w:val="0"/>
          <w:numId w:val="3"/>
        </w:numPr>
        <w:tabs>
          <w:tab w:val="clear" w:pos="720"/>
        </w:tabs>
        <w:spacing w:line="360" w:lineRule="auto"/>
        <w:ind w:left="426" w:hanging="426"/>
        <w:jc w:val="both"/>
      </w:pPr>
      <w:r w:rsidRPr="00895EFC">
        <w:t>Source attribution (government, corporate, NGO, community)</w:t>
      </w:r>
    </w:p>
    <w:p w14:paraId="76A6980A" w14:textId="77777777" w:rsidR="00586055" w:rsidRPr="00895EFC" w:rsidRDefault="00586055" w:rsidP="005B1DD8">
      <w:pPr>
        <w:numPr>
          <w:ilvl w:val="0"/>
          <w:numId w:val="3"/>
        </w:numPr>
        <w:tabs>
          <w:tab w:val="clear" w:pos="720"/>
        </w:tabs>
        <w:spacing w:line="360" w:lineRule="auto"/>
        <w:ind w:left="426" w:hanging="426"/>
        <w:jc w:val="both"/>
      </w:pPr>
      <w:r w:rsidRPr="00895EFC">
        <w:t>Narrative emphasis (economic, environmental, political)</w:t>
      </w:r>
    </w:p>
    <w:p w14:paraId="7023AF84" w14:textId="77777777" w:rsidR="00586055" w:rsidRPr="00895EFC" w:rsidRDefault="00586055" w:rsidP="005B1DD8">
      <w:pPr>
        <w:numPr>
          <w:ilvl w:val="0"/>
          <w:numId w:val="3"/>
        </w:numPr>
        <w:tabs>
          <w:tab w:val="clear" w:pos="720"/>
        </w:tabs>
        <w:spacing w:line="360" w:lineRule="auto"/>
        <w:ind w:left="426" w:hanging="426"/>
        <w:jc w:val="both"/>
      </w:pPr>
      <w:r w:rsidRPr="00895EFC">
        <w:t>Rhetorical markers (evaluative adjectives, metaphors, modal verbs)</w:t>
      </w:r>
    </w:p>
    <w:p w14:paraId="24114CC5" w14:textId="77777777" w:rsidR="00586055" w:rsidRPr="00895EFC" w:rsidRDefault="00586055" w:rsidP="00895EFC">
      <w:pPr>
        <w:spacing w:after="240" w:line="360" w:lineRule="auto"/>
        <w:ind w:firstLine="720"/>
        <w:jc w:val="both"/>
      </w:pPr>
      <w:r w:rsidRPr="00895EFC">
        <w:t>Intercoder reliability was strengthened using repeated coding cycles and peer cross-checking of coding categories.</w:t>
      </w:r>
    </w:p>
    <w:p w14:paraId="0DCD1C26" w14:textId="77777777" w:rsidR="00586055" w:rsidRPr="00895EFC" w:rsidRDefault="00586055" w:rsidP="00586055">
      <w:pPr>
        <w:spacing w:line="360" w:lineRule="auto"/>
        <w:jc w:val="both"/>
        <w:rPr>
          <w:b/>
          <w:bCs/>
        </w:rPr>
      </w:pPr>
      <w:r w:rsidRPr="00895EFC">
        <w:rPr>
          <w:b/>
          <w:bCs/>
        </w:rPr>
        <w:lastRenderedPageBreak/>
        <w:t>5. Triangulation</w:t>
      </w:r>
    </w:p>
    <w:p w14:paraId="10BD8658" w14:textId="77777777" w:rsidR="00586055" w:rsidRPr="00895EFC" w:rsidRDefault="00586055" w:rsidP="00586055">
      <w:pPr>
        <w:spacing w:line="360" w:lineRule="auto"/>
        <w:jc w:val="both"/>
      </w:pPr>
      <w:r w:rsidRPr="00895EFC">
        <w:t>To ensure validity and reliability, the study applied methodological triangulation by:</w:t>
      </w:r>
    </w:p>
    <w:p w14:paraId="51D79BB5" w14:textId="77777777" w:rsidR="00586055" w:rsidRPr="00895EFC" w:rsidRDefault="00586055" w:rsidP="005B1DD8">
      <w:pPr>
        <w:numPr>
          <w:ilvl w:val="0"/>
          <w:numId w:val="3"/>
        </w:numPr>
        <w:tabs>
          <w:tab w:val="clear" w:pos="720"/>
        </w:tabs>
        <w:spacing w:line="360" w:lineRule="auto"/>
        <w:ind w:left="426" w:hanging="426"/>
        <w:jc w:val="both"/>
      </w:pPr>
      <w:r w:rsidRPr="00895EFC">
        <w:t>Cross-referencing media data with external reports (government, NGOs)</w:t>
      </w:r>
    </w:p>
    <w:p w14:paraId="577D625E" w14:textId="77777777" w:rsidR="00586055" w:rsidRPr="00895EFC" w:rsidRDefault="00586055" w:rsidP="005B1DD8">
      <w:pPr>
        <w:numPr>
          <w:ilvl w:val="0"/>
          <w:numId w:val="3"/>
        </w:numPr>
        <w:tabs>
          <w:tab w:val="clear" w:pos="720"/>
        </w:tabs>
        <w:spacing w:line="360" w:lineRule="auto"/>
        <w:ind w:left="426" w:hanging="426"/>
        <w:jc w:val="both"/>
      </w:pPr>
      <w:r w:rsidRPr="00895EFC">
        <w:t>Comparing findings across two media institutions</w:t>
      </w:r>
    </w:p>
    <w:p w14:paraId="00339468" w14:textId="77777777" w:rsidR="00586055" w:rsidRPr="00895EFC" w:rsidRDefault="00586055" w:rsidP="005B1DD8">
      <w:pPr>
        <w:numPr>
          <w:ilvl w:val="0"/>
          <w:numId w:val="3"/>
        </w:numPr>
        <w:tabs>
          <w:tab w:val="clear" w:pos="720"/>
        </w:tabs>
        <w:spacing w:after="240" w:line="360" w:lineRule="auto"/>
        <w:ind w:left="426" w:hanging="426"/>
        <w:jc w:val="both"/>
      </w:pPr>
      <w:r w:rsidRPr="00895EFC">
        <w:t>Integrating theoretical triangulation from framing, political economy, and media logic perspectives</w:t>
      </w:r>
    </w:p>
    <w:p w14:paraId="502A2C52" w14:textId="77777777" w:rsidR="00586055" w:rsidRPr="00895EFC" w:rsidRDefault="00586055" w:rsidP="00586055">
      <w:pPr>
        <w:spacing w:line="360" w:lineRule="auto"/>
        <w:jc w:val="both"/>
        <w:rPr>
          <w:b/>
          <w:bCs/>
        </w:rPr>
      </w:pPr>
      <w:r w:rsidRPr="00895EFC">
        <w:rPr>
          <w:b/>
          <w:bCs/>
        </w:rPr>
        <w:t>6. Ethical Considerations</w:t>
      </w:r>
    </w:p>
    <w:p w14:paraId="7CF3301C" w14:textId="77777777" w:rsidR="00586055" w:rsidRPr="00895EFC" w:rsidRDefault="00586055" w:rsidP="00895EFC">
      <w:pPr>
        <w:spacing w:after="240" w:line="360" w:lineRule="auto"/>
        <w:ind w:firstLine="720"/>
        <w:jc w:val="both"/>
      </w:pPr>
      <w:r w:rsidRPr="00895EFC">
        <w:t>This study relied exclusively on publicly available documents and news materials. No human subjects were involved, and therefore no additional ethical clearance was required. All sources are cited appropriately to maintain academic integrity. This methodological framework ensures a systematic and credible analysis of how media ownership, political affiliations, and editorial norms shape the reporting of nickel mining activities in Raja Ampat.</w:t>
      </w:r>
    </w:p>
    <w:p w14:paraId="71B43F61" w14:textId="210E6B8A" w:rsidR="00586055" w:rsidRPr="00895EFC" w:rsidRDefault="00987DC8" w:rsidP="00586055">
      <w:pPr>
        <w:spacing w:line="360" w:lineRule="auto"/>
        <w:jc w:val="both"/>
        <w:rPr>
          <w:rFonts w:eastAsia="Times New Roman"/>
          <w:b/>
        </w:rPr>
      </w:pPr>
      <w:r w:rsidRPr="00895EFC">
        <w:rPr>
          <w:rFonts w:eastAsia="Times New Roman"/>
          <w:b/>
        </w:rPr>
        <w:t>FINDING AND DISCUSSION</w:t>
      </w:r>
    </w:p>
    <w:p w14:paraId="2AF04E19" w14:textId="4F5D881F" w:rsidR="00586055" w:rsidRPr="00895EFC" w:rsidRDefault="00586055" w:rsidP="00895EFC">
      <w:pPr>
        <w:spacing w:after="240" w:line="360" w:lineRule="auto"/>
        <w:ind w:firstLine="720"/>
        <w:jc w:val="both"/>
      </w:pPr>
      <w:r w:rsidRPr="00895EFC">
        <w:t>Headline Analysis: Tempo often uses problem-oriented headlines such as 'Nickel Mining Permit Controversy in Raja Ampat' emphasizing conflict, while Media Indonesia employs neutral or positive framing like 'Five Mining Companies Operating in Raja Ampat,' which normalizes mining activities.</w:t>
      </w:r>
      <w:r w:rsidR="00895EFC" w:rsidRPr="00895EFC">
        <w:t xml:space="preserve"> </w:t>
      </w:r>
      <w:r w:rsidRPr="00895EFC">
        <w:t>Lexical Choice: Tempo frequently employs terms like 'threat,' 'damage,' and 'opposition,' whereas Media Indonesia favors terms like 'development,' 'investment,' and 'opportunity.' These word choices subtly guide audience perception. Source Attribution: Tempo prioritizes voices from NGOs, academics, and local community leaders, placing government responses toward the end of articles. Media Indonesia, conversely, foregrounds statements from government officials and company representatives, with little to no coverage of opposition voices.</w:t>
      </w:r>
    </w:p>
    <w:p w14:paraId="7CCE141B" w14:textId="54CCE078" w:rsidR="00895EFC" w:rsidRPr="00895EFC" w:rsidRDefault="00987DC8" w:rsidP="00895EFC">
      <w:pPr>
        <w:spacing w:line="360" w:lineRule="auto"/>
        <w:rPr>
          <w:b/>
          <w:bCs/>
        </w:rPr>
      </w:pPr>
      <w:r w:rsidRPr="00895EFC">
        <w:rPr>
          <w:b/>
          <w:bCs/>
        </w:rPr>
        <w:t xml:space="preserve">ETHICAL JOURNALISM </w:t>
      </w:r>
      <w:r>
        <w:rPr>
          <w:b/>
          <w:bCs/>
        </w:rPr>
        <w:t>A</w:t>
      </w:r>
      <w:r w:rsidRPr="00895EFC">
        <w:rPr>
          <w:b/>
          <w:bCs/>
        </w:rPr>
        <w:t>ND POLICY IMPLICATIONS</w:t>
      </w:r>
    </w:p>
    <w:p w14:paraId="082502FE" w14:textId="696CCE24" w:rsidR="00895EFC" w:rsidRPr="00895EFC" w:rsidRDefault="00895EFC" w:rsidP="00895EFC">
      <w:pPr>
        <w:spacing w:after="240" w:line="360" w:lineRule="auto"/>
        <w:ind w:firstLine="720"/>
        <w:jc w:val="both"/>
      </w:pPr>
      <w:r w:rsidRPr="00895EFC">
        <w:t>The ethical dimension of journalism is central to understanding these framing differences. The Society of Professional Journalists' Code of Ethics (SPJ, 2014) emphasizes accuracy, fairness, and independence as key principles. While both Tempo and Media Indonesia operate within the Indonesian legal and regulatory framework, their divergent approaches reflect varying degrees of adherence to these principles. Tempo's inclusion of multiple voices aligns with fairness and independence, whereas Media Indonesia's emphasis on government perspectives raises questions about balance and potential.</w:t>
      </w:r>
      <w:r w:rsidRPr="00895EFC">
        <w:br/>
      </w:r>
      <w:r w:rsidRPr="00895EFC">
        <w:lastRenderedPageBreak/>
        <w:t xml:space="preserve">              These observations have important policy implications. The Indonesian Press Council (Dewan Pers) could strengthen transparency requirements regarding media ownership and editorial independence to mitigate potential biases. Academic institutions can integrate media literacy education into curricula to equip citizens with tools to critically evaluate news content. Non-governmental organizations (NGOs) and community groups can also play a role by producing independent reports and amplifying marginalized voices in environmental controversies.</w:t>
      </w:r>
    </w:p>
    <w:p w14:paraId="0EF08B04" w14:textId="1C96C47B" w:rsidR="00895EFC" w:rsidRPr="00895EFC" w:rsidRDefault="00895EFC" w:rsidP="00895EFC">
      <w:pPr>
        <w:spacing w:line="360" w:lineRule="auto"/>
        <w:jc w:val="both"/>
        <w:rPr>
          <w:b/>
          <w:bCs/>
        </w:rPr>
      </w:pPr>
      <w:r w:rsidRPr="00895EFC">
        <w:rPr>
          <w:b/>
          <w:bCs/>
        </w:rPr>
        <w:t xml:space="preserve">Media Logic </w:t>
      </w:r>
      <w:r>
        <w:rPr>
          <w:b/>
          <w:bCs/>
        </w:rPr>
        <w:t>a</w:t>
      </w:r>
      <w:r w:rsidRPr="00895EFC">
        <w:rPr>
          <w:b/>
          <w:bCs/>
        </w:rPr>
        <w:t>nd Agenda-Setting Perspectives</w:t>
      </w:r>
    </w:p>
    <w:p w14:paraId="3D11C988" w14:textId="77777777" w:rsidR="00895EFC" w:rsidRPr="00895EFC" w:rsidRDefault="00895EFC" w:rsidP="00895EFC">
      <w:pPr>
        <w:spacing w:line="360" w:lineRule="auto"/>
        <w:ind w:firstLine="720"/>
        <w:jc w:val="both"/>
      </w:pPr>
      <w:r w:rsidRPr="00895EFC">
        <w:t xml:space="preserve">Beyond framing and political economy, two additional theoretical perspectives further illuminate the differences between Tempo and Media Indonesia: media logic and agenda-setting theory. Altheide and Snow (1979) introduced the concept of media logic to explain how the formats and routines of media production influence the selection and presentation of content. Under this framework, Media Indonesia's reliance on official government sources reflects a routine of reporting press releases and official statements, while Tempo's investigative tradition disrupts this logic by prioritizing alternative narratives </w:t>
      </w:r>
      <w:r w:rsidRPr="00895EFC">
        <w:br/>
        <w:t xml:space="preserve">            Agenda-setting theory (McCombs &amp; Shaw, 1972) argues that media do not tell people what to think but rather what to think about. By highlighting economic development in its headlines, Media Indonesia places government-led mining operations high on the public agenda, framing them as a legitimate topic for discussion. Tempo, conversely, elevates environmental and community concerns, thereby redefining the agenda to focus on sustainability and local impacts. These differences underscore the power of media in shaping not only public opinion but also the policy agenda, especially in resource-rich regions like Raja Ampat</w:t>
      </w:r>
    </w:p>
    <w:p w14:paraId="6E6D3F45" w14:textId="77777777" w:rsidR="00895EFC" w:rsidRPr="00895EFC" w:rsidRDefault="00895EFC" w:rsidP="00895EFC">
      <w:pPr>
        <w:spacing w:line="360" w:lineRule="auto"/>
        <w:ind w:firstLine="720"/>
        <w:jc w:val="both"/>
      </w:pPr>
      <w:r w:rsidRPr="00895EFC">
        <w:t xml:space="preserve">Framing analysis is used in this study as one of the key approaches to media content analysis. As a form of textual media analysis, framing analysis is part of the constructionist paradigm, which focuses on how the media constructs social realities and represents certain perspectives </w:t>
      </w:r>
      <w:r w:rsidRPr="00895EFC">
        <w:rPr>
          <w:i/>
          <w:iCs/>
        </w:rPr>
        <w:t>(</w:t>
      </w:r>
      <w:proofErr w:type="spellStart"/>
      <w:r w:rsidRPr="00895EFC">
        <w:rPr>
          <w:i/>
          <w:iCs/>
        </w:rPr>
        <w:t>Eriyanto</w:t>
      </w:r>
      <w:proofErr w:type="spellEnd"/>
      <w:r w:rsidRPr="00895EFC">
        <w:rPr>
          <w:i/>
          <w:iCs/>
        </w:rPr>
        <w:t>, 2011:115)</w:t>
      </w:r>
      <w:r w:rsidRPr="00895EFC">
        <w:t>.</w:t>
      </w:r>
    </w:p>
    <w:p w14:paraId="7021243D" w14:textId="77777777" w:rsidR="00895EFC" w:rsidRPr="00895EFC" w:rsidRDefault="00895EFC" w:rsidP="00895EFC">
      <w:pPr>
        <w:spacing w:after="240" w:line="360" w:lineRule="auto"/>
        <w:ind w:firstLine="720"/>
        <w:jc w:val="both"/>
      </w:pPr>
      <w:r w:rsidRPr="00895EFC">
        <w:t xml:space="preserve">In analyzing media texts, journalists often select political events as newsworthy topics that attract public interest. In the contemporary era, politics has entered the mediation stage, where mass media has become inseparable from political processes </w:t>
      </w:r>
      <w:r w:rsidRPr="00895EFC">
        <w:rPr>
          <w:i/>
          <w:iCs/>
        </w:rPr>
        <w:t>(</w:t>
      </w:r>
      <w:proofErr w:type="spellStart"/>
      <w:r w:rsidRPr="00895EFC">
        <w:rPr>
          <w:i/>
          <w:iCs/>
        </w:rPr>
        <w:t>Ibnu</w:t>
      </w:r>
      <w:proofErr w:type="spellEnd"/>
      <w:r w:rsidRPr="00895EFC">
        <w:rPr>
          <w:i/>
          <w:iCs/>
        </w:rPr>
        <w:t xml:space="preserve"> Hamad, 2004:4)</w:t>
      </w:r>
      <w:r w:rsidRPr="00895EFC">
        <w:t>.</w:t>
      </w:r>
    </w:p>
    <w:p w14:paraId="427820D6" w14:textId="77777777" w:rsidR="00895EFC" w:rsidRPr="00895EFC" w:rsidRDefault="00895EFC" w:rsidP="00895EFC">
      <w:pPr>
        <w:spacing w:line="360" w:lineRule="auto"/>
        <w:jc w:val="both"/>
      </w:pPr>
      <w:r w:rsidRPr="00895EFC">
        <w:lastRenderedPageBreak/>
        <w:t xml:space="preserve">This also applies to the case of nickel mining activities in Raja Ampat, where </w:t>
      </w:r>
      <w:r w:rsidRPr="00895EFC">
        <w:rPr>
          <w:i/>
          <w:iCs/>
        </w:rPr>
        <w:t>Tempo</w:t>
      </w:r>
      <w:r w:rsidRPr="00895EFC">
        <w:t xml:space="preserve"> and </w:t>
      </w:r>
      <w:r w:rsidRPr="00895EFC">
        <w:rPr>
          <w:i/>
          <w:iCs/>
        </w:rPr>
        <w:t>Media Indonesia</w:t>
      </w:r>
      <w:r w:rsidRPr="00895EFC">
        <w:t xml:space="preserve"> framed the issue differently:</w:t>
      </w:r>
    </w:p>
    <w:p w14:paraId="15908225" w14:textId="77777777" w:rsidR="00895EFC" w:rsidRPr="00895EFC" w:rsidRDefault="00895EFC" w:rsidP="00987DC8">
      <w:pPr>
        <w:numPr>
          <w:ilvl w:val="0"/>
          <w:numId w:val="4"/>
        </w:numPr>
        <w:tabs>
          <w:tab w:val="clear" w:pos="720"/>
        </w:tabs>
        <w:spacing w:line="360" w:lineRule="auto"/>
        <w:ind w:left="284" w:hanging="284"/>
        <w:jc w:val="both"/>
      </w:pPr>
      <w:r w:rsidRPr="00895EFC">
        <w:t>Tempo highlights the environmental and socio-economic risks posed by mining, portraying the issue with a negative sentiment.</w:t>
      </w:r>
    </w:p>
    <w:p w14:paraId="63DD7518" w14:textId="77777777" w:rsidR="00895EFC" w:rsidRPr="00895EFC" w:rsidRDefault="00895EFC" w:rsidP="00987DC8">
      <w:pPr>
        <w:numPr>
          <w:ilvl w:val="0"/>
          <w:numId w:val="4"/>
        </w:numPr>
        <w:tabs>
          <w:tab w:val="clear" w:pos="720"/>
        </w:tabs>
        <w:spacing w:line="360" w:lineRule="auto"/>
        <w:ind w:left="284" w:hanging="284"/>
        <w:jc w:val="both"/>
      </w:pPr>
      <w:r w:rsidRPr="00895EFC">
        <w:t>Media Indonesia, on the other hand, tends to emphasize government perspectives, highlighting economic opportunities and portraying mining activities with a positive sentiment. These divergent approaches demonstrate that media ownership and political affiliations play a crucial role in shaping framing strategies and influencing public opinion. This pattern has implications for media credibility and public trust. Audiences increasingly rely on online platforms for news, yet algorithmic curation may amplify frames that favor dominant actors. Understanding these dynamics is essential for fostering media literacy and encouraging balanced reporting.</w:t>
      </w:r>
    </w:p>
    <w:p w14:paraId="41E207A4" w14:textId="77777777" w:rsidR="00895EFC" w:rsidRPr="00895EFC" w:rsidRDefault="00895EFC" w:rsidP="00895EFC">
      <w:pPr>
        <w:spacing w:line="360" w:lineRule="auto"/>
        <w:jc w:val="center"/>
        <w:rPr>
          <w:b/>
          <w:bCs/>
        </w:rPr>
      </w:pPr>
      <w:proofErr w:type="spellStart"/>
      <w:r w:rsidRPr="00895EFC">
        <w:rPr>
          <w:b/>
          <w:bCs/>
        </w:rPr>
        <w:t>Tabel</w:t>
      </w:r>
      <w:proofErr w:type="spellEnd"/>
      <w:r w:rsidRPr="00895EFC">
        <w:rPr>
          <w:b/>
          <w:bCs/>
        </w:rPr>
        <w:t xml:space="preserve"> 1</w:t>
      </w:r>
    </w:p>
    <w:tbl>
      <w:tblPr>
        <w:tblStyle w:val="TableGrid"/>
        <w:tblW w:w="0" w:type="auto"/>
        <w:tblInd w:w="1129" w:type="dxa"/>
        <w:tblLook w:val="04A0" w:firstRow="1" w:lastRow="0" w:firstColumn="1" w:lastColumn="0" w:noHBand="0" w:noVBand="1"/>
      </w:tblPr>
      <w:tblGrid>
        <w:gridCol w:w="7202"/>
      </w:tblGrid>
      <w:tr w:rsidR="00895EFC" w:rsidRPr="00895EFC" w14:paraId="6D543B70" w14:textId="77777777" w:rsidTr="00987DC8">
        <w:tc>
          <w:tcPr>
            <w:tcW w:w="7202" w:type="dxa"/>
          </w:tcPr>
          <w:tbl>
            <w:tblPr>
              <w:tblW w:w="6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2109"/>
              <w:gridCol w:w="2911"/>
            </w:tblGrid>
            <w:tr w:rsidR="00895EFC" w:rsidRPr="00895EFC" w14:paraId="648C2655" w14:textId="77777777" w:rsidTr="00987DC8">
              <w:tc>
                <w:tcPr>
                  <w:tcW w:w="1952" w:type="dxa"/>
                </w:tcPr>
                <w:p w14:paraId="174BE3F7" w14:textId="77777777" w:rsidR="00895EFC" w:rsidRPr="00987DC8" w:rsidRDefault="00895EFC" w:rsidP="00987DC8">
                  <w:pPr>
                    <w:spacing w:line="360" w:lineRule="auto"/>
                    <w:jc w:val="center"/>
                    <w:rPr>
                      <w:b/>
                      <w:bCs/>
                    </w:rPr>
                  </w:pPr>
                  <w:r w:rsidRPr="00987DC8">
                    <w:rPr>
                      <w:b/>
                      <w:bCs/>
                    </w:rPr>
                    <w:t>Aspect</w:t>
                  </w:r>
                </w:p>
              </w:tc>
              <w:tc>
                <w:tcPr>
                  <w:tcW w:w="2109" w:type="dxa"/>
                </w:tcPr>
                <w:p w14:paraId="557535D9" w14:textId="77777777" w:rsidR="00895EFC" w:rsidRPr="00987DC8" w:rsidRDefault="00895EFC" w:rsidP="00987DC8">
                  <w:pPr>
                    <w:spacing w:line="360" w:lineRule="auto"/>
                    <w:jc w:val="center"/>
                    <w:rPr>
                      <w:b/>
                      <w:bCs/>
                    </w:rPr>
                  </w:pPr>
                  <w:r w:rsidRPr="00987DC8">
                    <w:rPr>
                      <w:b/>
                      <w:bCs/>
                    </w:rPr>
                    <w:t>Tempo</w:t>
                  </w:r>
                </w:p>
              </w:tc>
              <w:tc>
                <w:tcPr>
                  <w:tcW w:w="2911" w:type="dxa"/>
                </w:tcPr>
                <w:p w14:paraId="0C9FABBD" w14:textId="77777777" w:rsidR="00895EFC" w:rsidRPr="00987DC8" w:rsidRDefault="00895EFC" w:rsidP="00987DC8">
                  <w:pPr>
                    <w:spacing w:line="360" w:lineRule="auto"/>
                    <w:jc w:val="center"/>
                    <w:rPr>
                      <w:b/>
                      <w:bCs/>
                    </w:rPr>
                  </w:pPr>
                  <w:r w:rsidRPr="00987DC8">
                    <w:rPr>
                      <w:b/>
                      <w:bCs/>
                    </w:rPr>
                    <w:t>Media Indonesia</w:t>
                  </w:r>
                </w:p>
              </w:tc>
            </w:tr>
            <w:tr w:rsidR="00895EFC" w:rsidRPr="00895EFC" w14:paraId="01A00B0D" w14:textId="77777777" w:rsidTr="00987DC8">
              <w:tc>
                <w:tcPr>
                  <w:tcW w:w="1952" w:type="dxa"/>
                </w:tcPr>
                <w:p w14:paraId="6FA77F51" w14:textId="77777777" w:rsidR="00895EFC" w:rsidRPr="00895EFC" w:rsidRDefault="00895EFC" w:rsidP="0025085E">
                  <w:pPr>
                    <w:spacing w:line="360" w:lineRule="auto"/>
                    <w:jc w:val="both"/>
                  </w:pPr>
                  <w:r w:rsidRPr="00895EFC">
                    <w:t>Common Headlines</w:t>
                  </w:r>
                </w:p>
              </w:tc>
              <w:tc>
                <w:tcPr>
                  <w:tcW w:w="2109" w:type="dxa"/>
                </w:tcPr>
                <w:p w14:paraId="07CC2A9C" w14:textId="77777777" w:rsidR="00895EFC" w:rsidRPr="00895EFC" w:rsidRDefault="00895EFC" w:rsidP="0025085E">
                  <w:pPr>
                    <w:spacing w:line="360" w:lineRule="auto"/>
                    <w:jc w:val="both"/>
                  </w:pPr>
                  <w:r w:rsidRPr="00895EFC">
                    <w:t>“Nickel Mining Permit Controversy”</w:t>
                  </w:r>
                </w:p>
              </w:tc>
              <w:tc>
                <w:tcPr>
                  <w:tcW w:w="2911" w:type="dxa"/>
                </w:tcPr>
                <w:p w14:paraId="3E8B509A" w14:textId="77777777" w:rsidR="00895EFC" w:rsidRPr="00895EFC" w:rsidRDefault="00895EFC" w:rsidP="0025085E">
                  <w:pPr>
                    <w:spacing w:line="360" w:lineRule="auto"/>
                    <w:jc w:val="both"/>
                  </w:pPr>
                  <w:r w:rsidRPr="00895EFC">
                    <w:t>“Five Mining Companies Operating”</w:t>
                  </w:r>
                </w:p>
              </w:tc>
            </w:tr>
            <w:tr w:rsidR="00895EFC" w:rsidRPr="00895EFC" w14:paraId="5F9DF331" w14:textId="77777777" w:rsidTr="00987DC8">
              <w:tc>
                <w:tcPr>
                  <w:tcW w:w="1952" w:type="dxa"/>
                </w:tcPr>
                <w:p w14:paraId="73D4A2CC" w14:textId="77777777" w:rsidR="00895EFC" w:rsidRPr="00895EFC" w:rsidRDefault="00895EFC" w:rsidP="0025085E">
                  <w:pPr>
                    <w:spacing w:line="360" w:lineRule="auto"/>
                    <w:jc w:val="both"/>
                  </w:pPr>
                  <w:r w:rsidRPr="00895EFC">
                    <w:t>Lexical Focus</w:t>
                  </w:r>
                </w:p>
              </w:tc>
              <w:tc>
                <w:tcPr>
                  <w:tcW w:w="2109" w:type="dxa"/>
                </w:tcPr>
                <w:p w14:paraId="3F766B57" w14:textId="77777777" w:rsidR="00895EFC" w:rsidRPr="00895EFC" w:rsidRDefault="00895EFC" w:rsidP="0025085E">
                  <w:pPr>
                    <w:spacing w:line="360" w:lineRule="auto"/>
                    <w:jc w:val="both"/>
                  </w:pPr>
                  <w:r w:rsidRPr="00895EFC">
                    <w:t>“Threat,” “Damage,” “Opposition”</w:t>
                  </w:r>
                </w:p>
              </w:tc>
              <w:tc>
                <w:tcPr>
                  <w:tcW w:w="2911" w:type="dxa"/>
                </w:tcPr>
                <w:p w14:paraId="3D00B7F4" w14:textId="77777777" w:rsidR="00895EFC" w:rsidRPr="00895EFC" w:rsidRDefault="00895EFC" w:rsidP="0025085E">
                  <w:pPr>
                    <w:spacing w:line="360" w:lineRule="auto"/>
                    <w:jc w:val="both"/>
                  </w:pPr>
                  <w:r w:rsidRPr="00895EFC">
                    <w:t>“Development,” “Investment,” “Opportunity”</w:t>
                  </w:r>
                </w:p>
              </w:tc>
            </w:tr>
          </w:tbl>
          <w:p w14:paraId="498779B0" w14:textId="77777777" w:rsidR="00895EFC" w:rsidRPr="00895EFC" w:rsidRDefault="00895EFC" w:rsidP="0025085E">
            <w:pPr>
              <w:spacing w:line="360" w:lineRule="auto"/>
            </w:pPr>
          </w:p>
        </w:tc>
      </w:tr>
    </w:tbl>
    <w:p w14:paraId="5379241C" w14:textId="77777777" w:rsidR="00895EFC" w:rsidRPr="00895EFC" w:rsidRDefault="00895EFC" w:rsidP="00895EFC">
      <w:pPr>
        <w:spacing w:line="360" w:lineRule="auto"/>
        <w:jc w:val="center"/>
      </w:pPr>
      <w:r w:rsidRPr="00895EFC">
        <w:t>Source: Author Analysis</w:t>
      </w:r>
    </w:p>
    <w:p w14:paraId="696B19B7" w14:textId="77777777" w:rsidR="00895EFC" w:rsidRPr="00895EFC" w:rsidRDefault="00895EFC" w:rsidP="00895EFC">
      <w:pPr>
        <w:spacing w:line="360" w:lineRule="auto"/>
        <w:jc w:val="both"/>
        <w:rPr>
          <w:b/>
          <w:bCs/>
        </w:rPr>
      </w:pPr>
      <w:r w:rsidRPr="00895EFC">
        <w:rPr>
          <w:b/>
          <w:bCs/>
        </w:rPr>
        <w:t>Framing in Tempo</w:t>
      </w:r>
    </w:p>
    <w:p w14:paraId="4CC66FA0" w14:textId="77777777" w:rsidR="00895EFC" w:rsidRPr="00895EFC" w:rsidRDefault="00895EFC" w:rsidP="00895EFC">
      <w:pPr>
        <w:spacing w:line="360" w:lineRule="auto"/>
        <w:ind w:firstLine="720"/>
        <w:jc w:val="both"/>
      </w:pPr>
      <w:r w:rsidRPr="00895EFC">
        <w:rPr>
          <w:i/>
          <w:iCs/>
        </w:rPr>
        <w:t>Tempo</w:t>
      </w:r>
      <w:r w:rsidRPr="00895EFC">
        <w:t xml:space="preserve"> adopts an investigative journalism style, characterized by a critical and questioning approach. In its article titled “Nickel Mining Permit Controversy in Raja Ampat” </w:t>
      </w:r>
      <w:r w:rsidRPr="00895EFC">
        <w:rPr>
          <w:i/>
          <w:iCs/>
        </w:rPr>
        <w:t>(June 13, 2025 Tempo)</w:t>
      </w:r>
      <w:r w:rsidRPr="00895EFC">
        <w:t xml:space="preserve">, </w:t>
      </w:r>
      <w:r w:rsidRPr="00895EFC">
        <w:rPr>
          <w:i/>
          <w:iCs/>
        </w:rPr>
        <w:t>Tempo</w:t>
      </w:r>
      <w:r w:rsidRPr="00895EFC">
        <w:t xml:space="preserve"> focuses on:</w:t>
      </w:r>
    </w:p>
    <w:p w14:paraId="73B52769" w14:textId="77777777" w:rsidR="00895EFC" w:rsidRPr="00895EFC" w:rsidRDefault="00895EFC" w:rsidP="005B1DD8">
      <w:pPr>
        <w:numPr>
          <w:ilvl w:val="0"/>
          <w:numId w:val="5"/>
        </w:numPr>
        <w:tabs>
          <w:tab w:val="clear" w:pos="720"/>
        </w:tabs>
        <w:spacing w:line="360" w:lineRule="auto"/>
        <w:ind w:left="284" w:hanging="284"/>
        <w:jc w:val="both"/>
      </w:pPr>
      <w:r w:rsidRPr="00895EFC">
        <w:t>The strategic economic interests of stakeholders in Raja Ampat.</w:t>
      </w:r>
    </w:p>
    <w:p w14:paraId="07B5E2A1" w14:textId="77777777" w:rsidR="00895EFC" w:rsidRPr="00895EFC" w:rsidRDefault="00895EFC" w:rsidP="005B1DD8">
      <w:pPr>
        <w:numPr>
          <w:ilvl w:val="0"/>
          <w:numId w:val="5"/>
        </w:numPr>
        <w:tabs>
          <w:tab w:val="clear" w:pos="720"/>
        </w:tabs>
        <w:spacing w:line="360" w:lineRule="auto"/>
        <w:ind w:left="284" w:hanging="284"/>
        <w:jc w:val="both"/>
      </w:pPr>
      <w:r w:rsidRPr="00895EFC">
        <w:t>Criticism from environmentalists, academics, and local communities opposing nickel mining.</w:t>
      </w:r>
    </w:p>
    <w:p w14:paraId="67C3FB26" w14:textId="77777777" w:rsidR="00895EFC" w:rsidRPr="00895EFC" w:rsidRDefault="00895EFC" w:rsidP="005B1DD8">
      <w:pPr>
        <w:numPr>
          <w:ilvl w:val="0"/>
          <w:numId w:val="5"/>
        </w:numPr>
        <w:tabs>
          <w:tab w:val="clear" w:pos="720"/>
        </w:tabs>
        <w:spacing w:line="360" w:lineRule="auto"/>
        <w:ind w:left="284" w:hanging="284"/>
        <w:jc w:val="both"/>
      </w:pPr>
      <w:r w:rsidRPr="00895EFC">
        <w:t>The risk of environmental damage, including threats to marine ecosystems and biodiversity.</w:t>
      </w:r>
    </w:p>
    <w:p w14:paraId="6486D7A4" w14:textId="45401DEF" w:rsidR="00895EFC" w:rsidRPr="00895EFC" w:rsidRDefault="00895EFC" w:rsidP="005B1DD8">
      <w:pPr>
        <w:numPr>
          <w:ilvl w:val="0"/>
          <w:numId w:val="5"/>
        </w:numPr>
        <w:tabs>
          <w:tab w:val="clear" w:pos="720"/>
        </w:tabs>
        <w:spacing w:line="360" w:lineRule="auto"/>
        <w:ind w:left="284" w:hanging="284"/>
        <w:jc w:val="both"/>
      </w:pPr>
      <w:r w:rsidRPr="00895EFC">
        <w:t>Concerns over the potential disruption of local livelihoods, particularly for fishing communities.</w:t>
      </w:r>
      <w:r>
        <w:t xml:space="preserve"> </w:t>
      </w:r>
    </w:p>
    <w:p w14:paraId="240B8B91" w14:textId="77777777" w:rsidR="00895EFC" w:rsidRPr="00895EFC" w:rsidRDefault="00895EFC" w:rsidP="00987DC8">
      <w:pPr>
        <w:spacing w:line="360" w:lineRule="auto"/>
        <w:ind w:firstLine="720"/>
        <w:jc w:val="both"/>
      </w:pPr>
      <w:r w:rsidRPr="00895EFC">
        <w:lastRenderedPageBreak/>
        <w:t xml:space="preserve">Although </w:t>
      </w:r>
      <w:r w:rsidRPr="00895EFC">
        <w:rPr>
          <w:i/>
          <w:iCs/>
        </w:rPr>
        <w:t>Tempo</w:t>
      </w:r>
      <w:r w:rsidRPr="00895EFC">
        <w:t xml:space="preserve"> predominantly features anti-mining perspectives, it still includes government statements as supporting information. However, such statements are often placed toward the end of the articles, showing a framing bias favoring environmental conservation.</w:t>
      </w:r>
    </w:p>
    <w:p w14:paraId="69F5FD1C" w14:textId="77777777" w:rsidR="00895EFC" w:rsidRPr="00895EFC" w:rsidRDefault="00895EFC" w:rsidP="00895EFC">
      <w:pPr>
        <w:spacing w:line="360" w:lineRule="auto"/>
        <w:jc w:val="both"/>
      </w:pPr>
    </w:p>
    <w:p w14:paraId="78B8CE21" w14:textId="77777777" w:rsidR="00895EFC" w:rsidRPr="00895EFC" w:rsidRDefault="00895EFC" w:rsidP="00895EFC">
      <w:pPr>
        <w:spacing w:line="360" w:lineRule="auto"/>
        <w:jc w:val="both"/>
        <w:rPr>
          <w:b/>
          <w:bCs/>
        </w:rPr>
      </w:pPr>
      <w:r w:rsidRPr="00895EFC">
        <w:rPr>
          <w:b/>
          <w:bCs/>
        </w:rPr>
        <w:t>Framing in Media Indonesia</w:t>
      </w:r>
    </w:p>
    <w:p w14:paraId="64C8D12E" w14:textId="77777777" w:rsidR="00895EFC" w:rsidRPr="00895EFC" w:rsidRDefault="00895EFC" w:rsidP="00895EFC">
      <w:pPr>
        <w:spacing w:line="360" w:lineRule="auto"/>
        <w:jc w:val="both"/>
      </w:pPr>
      <w:r w:rsidRPr="00895EFC">
        <w:t xml:space="preserve">Conversely, </w:t>
      </w:r>
      <w:r w:rsidRPr="00895EFC">
        <w:rPr>
          <w:i/>
          <w:iCs/>
        </w:rPr>
        <w:t>Media Indonesia</w:t>
      </w:r>
      <w:r w:rsidRPr="00895EFC">
        <w:t xml:space="preserve"> frames the issue with a pro-government and pro-economic development perspective. In its article titled “Five Mining Companies Operating in Raja Ampat” </w:t>
      </w:r>
      <w:r w:rsidRPr="00895EFC">
        <w:rPr>
          <w:i/>
          <w:iCs/>
        </w:rPr>
        <w:t>(June 8, 2025 Media Indonesia)</w:t>
      </w:r>
      <w:r w:rsidRPr="00895EFC">
        <w:t>, the outlet emphasizes:</w:t>
      </w:r>
    </w:p>
    <w:p w14:paraId="070DC208" w14:textId="77777777" w:rsidR="00895EFC" w:rsidRPr="00895EFC" w:rsidRDefault="00895EFC" w:rsidP="00987DC8">
      <w:pPr>
        <w:numPr>
          <w:ilvl w:val="0"/>
          <w:numId w:val="6"/>
        </w:numPr>
        <w:tabs>
          <w:tab w:val="clear" w:pos="720"/>
        </w:tabs>
        <w:spacing w:line="360" w:lineRule="auto"/>
        <w:ind w:left="284" w:hanging="284"/>
        <w:jc w:val="both"/>
      </w:pPr>
      <w:r w:rsidRPr="00895EFC">
        <w:t>Government assurances that nickel mining activities are safe and comply with regulations.</w:t>
      </w:r>
    </w:p>
    <w:p w14:paraId="35D96B19" w14:textId="77777777" w:rsidR="00895EFC" w:rsidRPr="00895EFC" w:rsidRDefault="00895EFC" w:rsidP="00987DC8">
      <w:pPr>
        <w:numPr>
          <w:ilvl w:val="0"/>
          <w:numId w:val="6"/>
        </w:numPr>
        <w:tabs>
          <w:tab w:val="clear" w:pos="720"/>
        </w:tabs>
        <w:spacing w:line="360" w:lineRule="auto"/>
        <w:ind w:left="284" w:hanging="284"/>
        <w:jc w:val="both"/>
      </w:pPr>
      <w:r w:rsidRPr="00895EFC">
        <w:t>Positive statements from the Ministry of Energy and Mineral Resources (ESDM), the Raja Ampat regency government, and representatives from PT Gag Nickel and other companies.</w:t>
      </w:r>
    </w:p>
    <w:p w14:paraId="70EE6EC7" w14:textId="77777777" w:rsidR="00895EFC" w:rsidRPr="00895EFC" w:rsidRDefault="00895EFC" w:rsidP="00987DC8">
      <w:pPr>
        <w:numPr>
          <w:ilvl w:val="0"/>
          <w:numId w:val="6"/>
        </w:numPr>
        <w:tabs>
          <w:tab w:val="clear" w:pos="720"/>
        </w:tabs>
        <w:spacing w:line="360" w:lineRule="auto"/>
        <w:ind w:left="284" w:hanging="284"/>
        <w:jc w:val="both"/>
      </w:pPr>
      <w:r w:rsidRPr="00895EFC">
        <w:t>The economic benefits of nickel mining, portraying it as an opportunity to boost national income and regional development.</w:t>
      </w:r>
    </w:p>
    <w:p w14:paraId="061CBA30" w14:textId="77777777" w:rsidR="00895EFC" w:rsidRPr="00895EFC" w:rsidRDefault="00895EFC" w:rsidP="00987DC8">
      <w:pPr>
        <w:numPr>
          <w:ilvl w:val="0"/>
          <w:numId w:val="6"/>
        </w:numPr>
        <w:tabs>
          <w:tab w:val="clear" w:pos="720"/>
        </w:tabs>
        <w:spacing w:line="360" w:lineRule="auto"/>
        <w:ind w:left="284" w:hanging="284"/>
        <w:jc w:val="both"/>
      </w:pPr>
      <w:r w:rsidRPr="00895EFC">
        <w:t>Supportive narratives suggesting that mining operations do not harm ecosystems or local communities.</w:t>
      </w:r>
    </w:p>
    <w:p w14:paraId="171F7A83" w14:textId="77777777" w:rsidR="00895EFC" w:rsidRPr="00895EFC" w:rsidRDefault="00895EFC" w:rsidP="00987DC8">
      <w:pPr>
        <w:spacing w:line="360" w:lineRule="auto"/>
        <w:ind w:firstLine="720"/>
        <w:jc w:val="both"/>
      </w:pPr>
      <w:r w:rsidRPr="00895EFC">
        <w:rPr>
          <w:i/>
          <w:iCs/>
        </w:rPr>
        <w:t>Media Indonesia</w:t>
      </w:r>
      <w:r w:rsidRPr="00895EFC">
        <w:t xml:space="preserve"> constructs its framing through selective sourcing by predominantly featuring government officials and company representatives, while voices opposing mining are minimized or excluded.</w:t>
      </w:r>
    </w:p>
    <w:p w14:paraId="2DABBA79" w14:textId="77777777" w:rsidR="00895EFC" w:rsidRPr="00895EFC" w:rsidRDefault="00895EFC" w:rsidP="00895EFC">
      <w:pPr>
        <w:spacing w:line="360" w:lineRule="auto"/>
        <w:jc w:val="both"/>
      </w:pPr>
    </w:p>
    <w:p w14:paraId="301D875B" w14:textId="3A3CCAA0" w:rsidR="00895EFC" w:rsidRPr="00895EFC" w:rsidRDefault="00987DC8" w:rsidP="00895EFC">
      <w:pPr>
        <w:spacing w:line="360" w:lineRule="auto"/>
        <w:jc w:val="both"/>
        <w:rPr>
          <w:b/>
          <w:bCs/>
        </w:rPr>
      </w:pPr>
      <w:r w:rsidRPr="00895EFC">
        <w:rPr>
          <w:b/>
          <w:bCs/>
        </w:rPr>
        <w:t>SUMMARY OF FINDINGS</w:t>
      </w:r>
    </w:p>
    <w:p w14:paraId="77DE67E6" w14:textId="77777777" w:rsidR="00895EFC" w:rsidRPr="00895EFC" w:rsidRDefault="00895EFC" w:rsidP="00987DC8">
      <w:pPr>
        <w:spacing w:line="360" w:lineRule="auto"/>
        <w:ind w:firstLine="720"/>
        <w:jc w:val="both"/>
      </w:pPr>
      <w:r w:rsidRPr="00895EFC">
        <w:t>The contrasting reporting styles demonstrate how media political economy influences news framing:</w:t>
      </w:r>
    </w:p>
    <w:p w14:paraId="2A44EB73" w14:textId="77777777" w:rsidR="00895EFC" w:rsidRPr="00895EFC" w:rsidRDefault="00895EFC" w:rsidP="00895EFC">
      <w:pPr>
        <w:spacing w:line="360" w:lineRule="auto"/>
        <w:jc w:val="center"/>
      </w:pPr>
      <w:r w:rsidRPr="00895EFC">
        <w:rPr>
          <w:rFonts w:eastAsia="Times New Roman"/>
          <w:b/>
        </w:rPr>
        <w:t>Table 2</w:t>
      </w:r>
    </w:p>
    <w:tbl>
      <w:tblPr>
        <w:tblStyle w:val="PlainTable2"/>
        <w:tblW w:w="9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8"/>
        <w:gridCol w:w="4069"/>
        <w:gridCol w:w="3337"/>
      </w:tblGrid>
      <w:tr w:rsidR="00987DC8" w:rsidRPr="00895EFC" w14:paraId="39F271BA" w14:textId="77777777" w:rsidTr="00987DC8">
        <w:trPr>
          <w:cnfStyle w:val="100000000000" w:firstRow="1" w:lastRow="0" w:firstColumn="0" w:lastColumn="0" w:oddVBand="0" w:evenVBand="0" w:oddHBand="0" w:evenHBand="0" w:firstRowFirstColumn="0" w:firstRowLastColumn="0" w:lastRowFirstColumn="0" w:lastRowLastColumn="0"/>
          <w:trHeight w:val="782"/>
          <w:tblHeader/>
        </w:trPr>
        <w:tc>
          <w:tcPr>
            <w:cnfStyle w:val="001000000000" w:firstRow="0" w:lastRow="0" w:firstColumn="1" w:lastColumn="0" w:oddVBand="0" w:evenVBand="0" w:oddHBand="0" w:evenHBand="0" w:firstRowFirstColumn="0" w:firstRowLastColumn="0" w:lastRowFirstColumn="0" w:lastRowLastColumn="0"/>
            <w:tcW w:w="1738" w:type="dxa"/>
            <w:tcBorders>
              <w:bottom w:val="none" w:sz="0" w:space="0" w:color="auto"/>
            </w:tcBorders>
            <w:hideMark/>
          </w:tcPr>
          <w:p w14:paraId="69B549C3" w14:textId="77777777" w:rsidR="00987DC8" w:rsidRPr="00987DC8" w:rsidRDefault="00987DC8" w:rsidP="00167D1B">
            <w:pPr>
              <w:spacing w:line="360" w:lineRule="auto"/>
              <w:jc w:val="center"/>
            </w:pPr>
            <w:r w:rsidRPr="00987DC8">
              <w:t>Aspect</w:t>
            </w:r>
          </w:p>
        </w:tc>
        <w:tc>
          <w:tcPr>
            <w:tcW w:w="4069" w:type="dxa"/>
            <w:tcBorders>
              <w:bottom w:val="none" w:sz="0" w:space="0" w:color="auto"/>
            </w:tcBorders>
            <w:hideMark/>
          </w:tcPr>
          <w:p w14:paraId="6ADBBA85" w14:textId="77777777" w:rsidR="00987DC8" w:rsidRPr="00987DC8" w:rsidRDefault="00987DC8" w:rsidP="00167D1B">
            <w:pPr>
              <w:spacing w:line="360" w:lineRule="auto"/>
              <w:jc w:val="center"/>
              <w:cnfStyle w:val="100000000000" w:firstRow="1" w:lastRow="0" w:firstColumn="0" w:lastColumn="0" w:oddVBand="0" w:evenVBand="0" w:oddHBand="0" w:evenHBand="0" w:firstRowFirstColumn="0" w:firstRowLastColumn="0" w:lastRowFirstColumn="0" w:lastRowLastColumn="0"/>
            </w:pPr>
            <w:r w:rsidRPr="00987DC8">
              <w:t xml:space="preserve">Tempo </w:t>
            </w:r>
            <w:r w:rsidRPr="00987DC8">
              <w:rPr>
                <w:i/>
                <w:iCs/>
              </w:rPr>
              <w:t>(Investigative)</w:t>
            </w:r>
          </w:p>
        </w:tc>
        <w:tc>
          <w:tcPr>
            <w:tcW w:w="3337" w:type="dxa"/>
            <w:tcBorders>
              <w:bottom w:val="none" w:sz="0" w:space="0" w:color="auto"/>
            </w:tcBorders>
            <w:hideMark/>
          </w:tcPr>
          <w:p w14:paraId="0A8F63C0" w14:textId="77777777" w:rsidR="00987DC8" w:rsidRPr="00987DC8" w:rsidRDefault="00987DC8" w:rsidP="00167D1B">
            <w:pPr>
              <w:spacing w:line="360" w:lineRule="auto"/>
              <w:jc w:val="center"/>
              <w:cnfStyle w:val="100000000000" w:firstRow="1" w:lastRow="0" w:firstColumn="0" w:lastColumn="0" w:oddVBand="0" w:evenVBand="0" w:oddHBand="0" w:evenHBand="0" w:firstRowFirstColumn="0" w:firstRowLastColumn="0" w:lastRowFirstColumn="0" w:lastRowLastColumn="0"/>
            </w:pPr>
            <w:r w:rsidRPr="00987DC8">
              <w:t xml:space="preserve">Media Indonesia </w:t>
            </w:r>
            <w:r w:rsidRPr="00987DC8">
              <w:rPr>
                <w:i/>
                <w:iCs/>
              </w:rPr>
              <w:t>(Pro-Government)</w:t>
            </w:r>
          </w:p>
        </w:tc>
      </w:tr>
      <w:tr w:rsidR="00987DC8" w:rsidRPr="00895EFC" w14:paraId="133A176F" w14:textId="77777777" w:rsidTr="00987DC8">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738" w:type="dxa"/>
            <w:tcBorders>
              <w:top w:val="none" w:sz="0" w:space="0" w:color="auto"/>
              <w:bottom w:val="none" w:sz="0" w:space="0" w:color="auto"/>
            </w:tcBorders>
            <w:hideMark/>
          </w:tcPr>
          <w:p w14:paraId="2501B028" w14:textId="77777777" w:rsidR="00987DC8" w:rsidRPr="00895EFC" w:rsidRDefault="00987DC8" w:rsidP="00167D1B">
            <w:pPr>
              <w:spacing w:line="360" w:lineRule="auto"/>
              <w:jc w:val="both"/>
              <w:rPr>
                <w:b w:val="0"/>
                <w:bCs w:val="0"/>
              </w:rPr>
            </w:pPr>
            <w:r w:rsidRPr="00895EFC">
              <w:rPr>
                <w:b w:val="0"/>
                <w:bCs w:val="0"/>
              </w:rPr>
              <w:t>Framing Tone</w:t>
            </w:r>
          </w:p>
        </w:tc>
        <w:tc>
          <w:tcPr>
            <w:tcW w:w="4069" w:type="dxa"/>
            <w:tcBorders>
              <w:top w:val="none" w:sz="0" w:space="0" w:color="auto"/>
              <w:bottom w:val="none" w:sz="0" w:space="0" w:color="auto"/>
            </w:tcBorders>
            <w:hideMark/>
          </w:tcPr>
          <w:p w14:paraId="4CCFC23A" w14:textId="77777777" w:rsidR="00987DC8" w:rsidRPr="00895EFC" w:rsidRDefault="00987DC8" w:rsidP="00167D1B">
            <w:pPr>
              <w:spacing w:line="360" w:lineRule="auto"/>
              <w:jc w:val="both"/>
              <w:cnfStyle w:val="000000100000" w:firstRow="0" w:lastRow="0" w:firstColumn="0" w:lastColumn="0" w:oddVBand="0" w:evenVBand="0" w:oddHBand="1" w:evenHBand="0" w:firstRowFirstColumn="0" w:firstRowLastColumn="0" w:lastRowFirstColumn="0" w:lastRowLastColumn="0"/>
            </w:pPr>
            <w:r w:rsidRPr="00895EFC">
              <w:t>Negative / Critical</w:t>
            </w:r>
          </w:p>
        </w:tc>
        <w:tc>
          <w:tcPr>
            <w:tcW w:w="3337" w:type="dxa"/>
            <w:tcBorders>
              <w:top w:val="none" w:sz="0" w:space="0" w:color="auto"/>
              <w:bottom w:val="none" w:sz="0" w:space="0" w:color="auto"/>
            </w:tcBorders>
            <w:hideMark/>
          </w:tcPr>
          <w:p w14:paraId="595B00C9" w14:textId="77777777" w:rsidR="00987DC8" w:rsidRPr="00895EFC" w:rsidRDefault="00987DC8" w:rsidP="00167D1B">
            <w:pPr>
              <w:spacing w:line="360" w:lineRule="auto"/>
              <w:jc w:val="both"/>
              <w:cnfStyle w:val="000000100000" w:firstRow="0" w:lastRow="0" w:firstColumn="0" w:lastColumn="0" w:oddVBand="0" w:evenVBand="0" w:oddHBand="1" w:evenHBand="0" w:firstRowFirstColumn="0" w:firstRowLastColumn="0" w:lastRowFirstColumn="0" w:lastRowLastColumn="0"/>
            </w:pPr>
            <w:r w:rsidRPr="00895EFC">
              <w:t>Positive / Supportive</w:t>
            </w:r>
          </w:p>
        </w:tc>
      </w:tr>
      <w:tr w:rsidR="00987DC8" w:rsidRPr="00895EFC" w14:paraId="5FA03CDB" w14:textId="77777777" w:rsidTr="00987DC8">
        <w:trPr>
          <w:trHeight w:val="784"/>
        </w:trPr>
        <w:tc>
          <w:tcPr>
            <w:cnfStyle w:val="001000000000" w:firstRow="0" w:lastRow="0" w:firstColumn="1" w:lastColumn="0" w:oddVBand="0" w:evenVBand="0" w:oddHBand="0" w:evenHBand="0" w:firstRowFirstColumn="0" w:firstRowLastColumn="0" w:lastRowFirstColumn="0" w:lastRowLastColumn="0"/>
            <w:tcW w:w="1738" w:type="dxa"/>
            <w:hideMark/>
          </w:tcPr>
          <w:p w14:paraId="36A1ACD4" w14:textId="77777777" w:rsidR="00987DC8" w:rsidRPr="00895EFC" w:rsidRDefault="00987DC8" w:rsidP="00167D1B">
            <w:pPr>
              <w:spacing w:line="360" w:lineRule="auto"/>
              <w:jc w:val="both"/>
              <w:rPr>
                <w:b w:val="0"/>
                <w:bCs w:val="0"/>
              </w:rPr>
            </w:pPr>
            <w:r w:rsidRPr="00895EFC">
              <w:rPr>
                <w:b w:val="0"/>
                <w:bCs w:val="0"/>
              </w:rPr>
              <w:t>Main Focus</w:t>
            </w:r>
          </w:p>
        </w:tc>
        <w:tc>
          <w:tcPr>
            <w:tcW w:w="4069" w:type="dxa"/>
            <w:hideMark/>
          </w:tcPr>
          <w:p w14:paraId="737020FF" w14:textId="77777777" w:rsidR="00987DC8" w:rsidRPr="00895EFC" w:rsidRDefault="00987DC8" w:rsidP="00167D1B">
            <w:pPr>
              <w:spacing w:line="360" w:lineRule="auto"/>
              <w:jc w:val="both"/>
              <w:cnfStyle w:val="000000000000" w:firstRow="0" w:lastRow="0" w:firstColumn="0" w:lastColumn="0" w:oddVBand="0" w:evenVBand="0" w:oddHBand="0" w:evenHBand="0" w:firstRowFirstColumn="0" w:firstRowLastColumn="0" w:lastRowFirstColumn="0" w:lastRowLastColumn="0"/>
            </w:pPr>
            <w:r w:rsidRPr="00895EFC">
              <w:t>Environmental damage, social impact</w:t>
            </w:r>
          </w:p>
        </w:tc>
        <w:tc>
          <w:tcPr>
            <w:tcW w:w="3337" w:type="dxa"/>
            <w:hideMark/>
          </w:tcPr>
          <w:p w14:paraId="2FAECAA1" w14:textId="77777777" w:rsidR="00987DC8" w:rsidRPr="00895EFC" w:rsidRDefault="00987DC8" w:rsidP="00167D1B">
            <w:pPr>
              <w:spacing w:line="360" w:lineRule="auto"/>
              <w:jc w:val="both"/>
              <w:cnfStyle w:val="000000000000" w:firstRow="0" w:lastRow="0" w:firstColumn="0" w:lastColumn="0" w:oddVBand="0" w:evenVBand="0" w:oddHBand="0" w:evenHBand="0" w:firstRowFirstColumn="0" w:firstRowLastColumn="0" w:lastRowFirstColumn="0" w:lastRowLastColumn="0"/>
            </w:pPr>
            <w:r w:rsidRPr="00895EFC">
              <w:t>Economic growth, government policy</w:t>
            </w:r>
          </w:p>
        </w:tc>
      </w:tr>
      <w:tr w:rsidR="00987DC8" w:rsidRPr="00895EFC" w14:paraId="6C04244C" w14:textId="77777777" w:rsidTr="00987DC8">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738" w:type="dxa"/>
            <w:tcBorders>
              <w:top w:val="none" w:sz="0" w:space="0" w:color="auto"/>
              <w:bottom w:val="none" w:sz="0" w:space="0" w:color="auto"/>
            </w:tcBorders>
            <w:hideMark/>
          </w:tcPr>
          <w:p w14:paraId="214B8A82" w14:textId="77777777" w:rsidR="00987DC8" w:rsidRPr="00895EFC" w:rsidRDefault="00987DC8" w:rsidP="00167D1B">
            <w:pPr>
              <w:spacing w:line="360" w:lineRule="auto"/>
              <w:jc w:val="both"/>
              <w:rPr>
                <w:b w:val="0"/>
                <w:bCs w:val="0"/>
              </w:rPr>
            </w:pPr>
            <w:r w:rsidRPr="00895EFC">
              <w:rPr>
                <w:b w:val="0"/>
                <w:bCs w:val="0"/>
              </w:rPr>
              <w:t>Primary Sources</w:t>
            </w:r>
          </w:p>
        </w:tc>
        <w:tc>
          <w:tcPr>
            <w:tcW w:w="4069" w:type="dxa"/>
            <w:tcBorders>
              <w:top w:val="none" w:sz="0" w:space="0" w:color="auto"/>
              <w:bottom w:val="none" w:sz="0" w:space="0" w:color="auto"/>
            </w:tcBorders>
            <w:hideMark/>
          </w:tcPr>
          <w:p w14:paraId="6A0D54BF" w14:textId="77777777" w:rsidR="00987DC8" w:rsidRPr="00895EFC" w:rsidRDefault="00987DC8" w:rsidP="00167D1B">
            <w:pPr>
              <w:spacing w:line="360" w:lineRule="auto"/>
              <w:jc w:val="both"/>
              <w:cnfStyle w:val="000000100000" w:firstRow="0" w:lastRow="0" w:firstColumn="0" w:lastColumn="0" w:oddVBand="0" w:evenVBand="0" w:oddHBand="1" w:evenHBand="0" w:firstRowFirstColumn="0" w:firstRowLastColumn="0" w:lastRowFirstColumn="0" w:lastRowLastColumn="0"/>
            </w:pPr>
            <w:r w:rsidRPr="00895EFC">
              <w:t>NGOs, academics, local activists</w:t>
            </w:r>
          </w:p>
        </w:tc>
        <w:tc>
          <w:tcPr>
            <w:tcW w:w="3337" w:type="dxa"/>
            <w:tcBorders>
              <w:top w:val="none" w:sz="0" w:space="0" w:color="auto"/>
              <w:bottom w:val="none" w:sz="0" w:space="0" w:color="auto"/>
            </w:tcBorders>
            <w:hideMark/>
          </w:tcPr>
          <w:p w14:paraId="1C791415" w14:textId="77777777" w:rsidR="00987DC8" w:rsidRPr="00895EFC" w:rsidRDefault="00987DC8" w:rsidP="00167D1B">
            <w:pPr>
              <w:spacing w:line="360" w:lineRule="auto"/>
              <w:jc w:val="both"/>
              <w:cnfStyle w:val="000000100000" w:firstRow="0" w:lastRow="0" w:firstColumn="0" w:lastColumn="0" w:oddVBand="0" w:evenVBand="0" w:oddHBand="1" w:evenHBand="0" w:firstRowFirstColumn="0" w:firstRowLastColumn="0" w:lastRowFirstColumn="0" w:lastRowLastColumn="0"/>
            </w:pPr>
            <w:r w:rsidRPr="00895EFC">
              <w:t>Government officials, company representatives</w:t>
            </w:r>
          </w:p>
        </w:tc>
      </w:tr>
      <w:tr w:rsidR="00987DC8" w:rsidRPr="00895EFC" w14:paraId="092665D2" w14:textId="77777777" w:rsidTr="00987DC8">
        <w:trPr>
          <w:trHeight w:val="398"/>
        </w:trPr>
        <w:tc>
          <w:tcPr>
            <w:cnfStyle w:val="001000000000" w:firstRow="0" w:lastRow="0" w:firstColumn="1" w:lastColumn="0" w:oddVBand="0" w:evenVBand="0" w:oddHBand="0" w:evenHBand="0" w:firstRowFirstColumn="0" w:firstRowLastColumn="0" w:lastRowFirstColumn="0" w:lastRowLastColumn="0"/>
            <w:tcW w:w="1738" w:type="dxa"/>
            <w:hideMark/>
          </w:tcPr>
          <w:p w14:paraId="75F15A10" w14:textId="77777777" w:rsidR="00987DC8" w:rsidRPr="00895EFC" w:rsidRDefault="00987DC8" w:rsidP="00167D1B">
            <w:pPr>
              <w:spacing w:line="360" w:lineRule="auto"/>
              <w:jc w:val="both"/>
              <w:rPr>
                <w:b w:val="0"/>
                <w:bCs w:val="0"/>
              </w:rPr>
            </w:pPr>
            <w:r w:rsidRPr="00895EFC">
              <w:rPr>
                <w:b w:val="0"/>
                <w:bCs w:val="0"/>
              </w:rPr>
              <w:t>News Angle</w:t>
            </w:r>
          </w:p>
        </w:tc>
        <w:tc>
          <w:tcPr>
            <w:tcW w:w="4069" w:type="dxa"/>
            <w:hideMark/>
          </w:tcPr>
          <w:p w14:paraId="47190BBA" w14:textId="77777777" w:rsidR="00987DC8" w:rsidRPr="00895EFC" w:rsidRDefault="00987DC8" w:rsidP="00167D1B">
            <w:pPr>
              <w:spacing w:line="360" w:lineRule="auto"/>
              <w:jc w:val="both"/>
              <w:cnfStyle w:val="000000000000" w:firstRow="0" w:lastRow="0" w:firstColumn="0" w:lastColumn="0" w:oddVBand="0" w:evenVBand="0" w:oddHBand="0" w:evenHBand="0" w:firstRowFirstColumn="0" w:firstRowLastColumn="0" w:lastRowFirstColumn="0" w:lastRowLastColumn="0"/>
            </w:pPr>
            <w:r w:rsidRPr="00895EFC">
              <w:t>Opposition to mining</w:t>
            </w:r>
          </w:p>
        </w:tc>
        <w:tc>
          <w:tcPr>
            <w:tcW w:w="3337" w:type="dxa"/>
            <w:hideMark/>
          </w:tcPr>
          <w:p w14:paraId="26E3B869" w14:textId="77777777" w:rsidR="00987DC8" w:rsidRPr="00895EFC" w:rsidRDefault="00987DC8" w:rsidP="00167D1B">
            <w:pPr>
              <w:spacing w:line="360" w:lineRule="auto"/>
              <w:jc w:val="both"/>
              <w:cnfStyle w:val="000000000000" w:firstRow="0" w:lastRow="0" w:firstColumn="0" w:lastColumn="0" w:oddVBand="0" w:evenVBand="0" w:oddHBand="0" w:evenHBand="0" w:firstRowFirstColumn="0" w:firstRowLastColumn="0" w:lastRowFirstColumn="0" w:lastRowLastColumn="0"/>
            </w:pPr>
            <w:r w:rsidRPr="00895EFC">
              <w:t>Support for mining</w:t>
            </w:r>
          </w:p>
        </w:tc>
      </w:tr>
      <w:tr w:rsidR="00987DC8" w:rsidRPr="00895EFC" w14:paraId="19F8CA4A" w14:textId="77777777" w:rsidTr="00987DC8">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738" w:type="dxa"/>
            <w:tcBorders>
              <w:top w:val="none" w:sz="0" w:space="0" w:color="auto"/>
              <w:bottom w:val="none" w:sz="0" w:space="0" w:color="auto"/>
            </w:tcBorders>
            <w:hideMark/>
          </w:tcPr>
          <w:p w14:paraId="211CDC51" w14:textId="77777777" w:rsidR="00987DC8" w:rsidRPr="00895EFC" w:rsidRDefault="00987DC8" w:rsidP="00167D1B">
            <w:pPr>
              <w:spacing w:line="360" w:lineRule="auto"/>
              <w:jc w:val="both"/>
              <w:rPr>
                <w:b w:val="0"/>
                <w:bCs w:val="0"/>
              </w:rPr>
            </w:pPr>
            <w:r w:rsidRPr="00895EFC">
              <w:rPr>
                <w:b w:val="0"/>
                <w:bCs w:val="0"/>
              </w:rPr>
              <w:lastRenderedPageBreak/>
              <w:t xml:space="preserve">Impact </w:t>
            </w:r>
            <w:r w:rsidRPr="00895EFC">
              <w:t xml:space="preserve">   </w:t>
            </w:r>
            <w:r w:rsidRPr="00895EFC">
              <w:rPr>
                <w:b w:val="0"/>
                <w:bCs w:val="0"/>
              </w:rPr>
              <w:t>on Audience</w:t>
            </w:r>
          </w:p>
        </w:tc>
        <w:tc>
          <w:tcPr>
            <w:tcW w:w="4069" w:type="dxa"/>
            <w:tcBorders>
              <w:top w:val="none" w:sz="0" w:space="0" w:color="auto"/>
              <w:bottom w:val="none" w:sz="0" w:space="0" w:color="auto"/>
            </w:tcBorders>
            <w:hideMark/>
          </w:tcPr>
          <w:p w14:paraId="6B3CDDA6" w14:textId="77777777" w:rsidR="00987DC8" w:rsidRPr="00895EFC" w:rsidRDefault="00987DC8" w:rsidP="00167D1B">
            <w:pPr>
              <w:spacing w:line="360" w:lineRule="auto"/>
              <w:jc w:val="both"/>
              <w:cnfStyle w:val="000000100000" w:firstRow="0" w:lastRow="0" w:firstColumn="0" w:lastColumn="0" w:oddVBand="0" w:evenVBand="0" w:oddHBand="1" w:evenHBand="0" w:firstRowFirstColumn="0" w:firstRowLastColumn="0" w:lastRowFirstColumn="0" w:lastRowLastColumn="0"/>
            </w:pPr>
            <w:r w:rsidRPr="00895EFC">
              <w:t>Encourages environmental awareness</w:t>
            </w:r>
          </w:p>
        </w:tc>
        <w:tc>
          <w:tcPr>
            <w:tcW w:w="3337" w:type="dxa"/>
            <w:tcBorders>
              <w:top w:val="none" w:sz="0" w:space="0" w:color="auto"/>
              <w:bottom w:val="none" w:sz="0" w:space="0" w:color="auto"/>
            </w:tcBorders>
            <w:hideMark/>
          </w:tcPr>
          <w:p w14:paraId="19101B6C" w14:textId="77777777" w:rsidR="00987DC8" w:rsidRPr="00895EFC" w:rsidRDefault="00987DC8" w:rsidP="00167D1B">
            <w:pPr>
              <w:spacing w:line="360" w:lineRule="auto"/>
              <w:jc w:val="both"/>
              <w:cnfStyle w:val="000000100000" w:firstRow="0" w:lastRow="0" w:firstColumn="0" w:lastColumn="0" w:oddVBand="0" w:evenVBand="0" w:oddHBand="1" w:evenHBand="0" w:firstRowFirstColumn="0" w:firstRowLastColumn="0" w:lastRowFirstColumn="0" w:lastRowLastColumn="0"/>
            </w:pPr>
            <w:r w:rsidRPr="00895EFC">
              <w:t>Promotes government trust</w:t>
            </w:r>
          </w:p>
        </w:tc>
      </w:tr>
    </w:tbl>
    <w:p w14:paraId="7B843900" w14:textId="488325A5" w:rsidR="00895EFC" w:rsidRPr="00895EFC" w:rsidRDefault="00895EFC" w:rsidP="00987DC8">
      <w:pPr>
        <w:spacing w:after="240" w:line="360" w:lineRule="auto"/>
        <w:jc w:val="center"/>
      </w:pPr>
      <w:r w:rsidRPr="00895EFC">
        <w:t>Source: Author Analysis</w:t>
      </w:r>
    </w:p>
    <w:p w14:paraId="1A8BB548" w14:textId="574A1FAF" w:rsidR="00895EFC" w:rsidRPr="00895EFC" w:rsidRDefault="00987DC8" w:rsidP="00895EFC">
      <w:pPr>
        <w:spacing w:line="360" w:lineRule="auto"/>
        <w:jc w:val="both"/>
        <w:rPr>
          <w:b/>
          <w:bCs/>
        </w:rPr>
      </w:pPr>
      <w:r w:rsidRPr="00895EFC">
        <w:rPr>
          <w:b/>
          <w:bCs/>
        </w:rPr>
        <w:t>DISCUSSION</w:t>
      </w:r>
    </w:p>
    <w:p w14:paraId="7CB63D6E" w14:textId="77777777" w:rsidR="00895EFC" w:rsidRPr="00895EFC" w:rsidRDefault="00895EFC" w:rsidP="00895EFC">
      <w:pPr>
        <w:spacing w:line="360" w:lineRule="auto"/>
        <w:ind w:firstLine="720"/>
        <w:jc w:val="both"/>
      </w:pPr>
      <w:r w:rsidRPr="00895EFC">
        <w:t>This study confirms that the political economy of media ownership and editorial policy directly influences the framing of environmental and economic issues. In the case of nickel mining in Raja Ampat, Tempo adopts a watchdog role emphasizing environment. Future research should expand the sample to include social media discourse and regional news outlets to understand how frames circulate beyond national media. Practically, these findings highlight the need for stronger journalistic ethics, greater transparency in media ownership, and increased media literacy among the public to counterbalance one-sided reporting.</w:t>
      </w:r>
    </w:p>
    <w:p w14:paraId="765FA097" w14:textId="77777777" w:rsidR="00895EFC" w:rsidRPr="00895EFC" w:rsidRDefault="00895EFC" w:rsidP="00895EFC">
      <w:pPr>
        <w:spacing w:line="360" w:lineRule="auto"/>
        <w:jc w:val="both"/>
      </w:pPr>
      <w:r w:rsidRPr="00895EFC">
        <w:t>Policymakers, journalists, and civil society organizations should collaborate to ensure that reporting on environmental issues reflects diverse perspectives, protecting public interest and ecological sustainability in Indonesia’s rapidly developing regions.</w:t>
      </w:r>
    </w:p>
    <w:p w14:paraId="4DA0B5F8" w14:textId="77777777" w:rsidR="00895EFC" w:rsidRPr="00895EFC" w:rsidRDefault="00895EFC" w:rsidP="00987DC8">
      <w:pPr>
        <w:spacing w:after="240" w:line="360" w:lineRule="auto"/>
        <w:ind w:firstLine="720"/>
        <w:jc w:val="both"/>
      </w:pPr>
      <w:r w:rsidRPr="00895EFC">
        <w:t xml:space="preserve">The controversy over nickel mining activities in Raja Ampat is framed differently by </w:t>
      </w:r>
      <w:r w:rsidRPr="00895EFC">
        <w:rPr>
          <w:i/>
          <w:iCs/>
        </w:rPr>
        <w:t>Tempo</w:t>
      </w:r>
      <w:r w:rsidRPr="00895EFC">
        <w:t xml:space="preserve"> and </w:t>
      </w:r>
      <w:r w:rsidRPr="00895EFC">
        <w:rPr>
          <w:i/>
          <w:iCs/>
        </w:rPr>
        <w:t>Media Indonesia</w:t>
      </w:r>
      <w:r w:rsidRPr="00895EFC">
        <w:t>, reflecting their *</w:t>
      </w:r>
      <w:r w:rsidRPr="00895EFC">
        <w:rPr>
          <w:i/>
          <w:iCs/>
        </w:rPr>
        <w:t>ownership structures, political affiliations, and editorial policies</w:t>
      </w:r>
      <w:r w:rsidRPr="00895EFC">
        <w:t>. Both outlets construct narratives that shape public understanding but employ distinct framing strategies and sourcing patterns.</w:t>
      </w:r>
    </w:p>
    <w:p w14:paraId="0C12DCB5" w14:textId="44750553" w:rsidR="00895EFC" w:rsidRPr="00987DC8" w:rsidRDefault="00895EFC" w:rsidP="00987DC8">
      <w:pPr>
        <w:pStyle w:val="ListParagraph"/>
        <w:numPr>
          <w:ilvl w:val="0"/>
          <w:numId w:val="15"/>
        </w:numPr>
        <w:spacing w:line="360" w:lineRule="auto"/>
        <w:ind w:left="426"/>
        <w:jc w:val="both"/>
        <w:rPr>
          <w:rFonts w:ascii="Times New Roman" w:hAnsi="Times New Roman" w:cs="Times New Roman"/>
          <w:b/>
          <w:bCs/>
        </w:rPr>
      </w:pPr>
      <w:r w:rsidRPr="00987DC8">
        <w:rPr>
          <w:rFonts w:ascii="Times New Roman" w:hAnsi="Times New Roman" w:cs="Times New Roman"/>
          <w:b/>
          <w:bCs/>
        </w:rPr>
        <w:t>Tempo’s Investigative Approach</w:t>
      </w:r>
    </w:p>
    <w:p w14:paraId="4AA9C4C6" w14:textId="77777777" w:rsidR="00895EFC" w:rsidRPr="00895EFC" w:rsidRDefault="00895EFC" w:rsidP="00987DC8">
      <w:pPr>
        <w:spacing w:after="240" w:line="360" w:lineRule="auto"/>
        <w:ind w:firstLine="720"/>
        <w:jc w:val="both"/>
      </w:pPr>
      <w:r w:rsidRPr="00895EFC">
        <w:rPr>
          <w:i/>
          <w:iCs/>
        </w:rPr>
        <w:t>Tempo</w:t>
      </w:r>
      <w:r w:rsidRPr="00895EFC">
        <w:t xml:space="preserve"> employs an investigative journalism model, characterized by its critical tone and balanced use of multiple sources. In the article “Nickel Mining Permit Controversy in Raja Ampat” </w:t>
      </w:r>
      <w:r w:rsidRPr="00895EFC">
        <w:rPr>
          <w:i/>
          <w:iCs/>
        </w:rPr>
        <w:t>(June 13, 2025 Tempo)</w:t>
      </w:r>
      <w:r w:rsidRPr="00895EFC">
        <w:t xml:space="preserve">, </w:t>
      </w:r>
      <w:r w:rsidRPr="00895EFC">
        <w:rPr>
          <w:i/>
          <w:iCs/>
        </w:rPr>
        <w:t>Tempo</w:t>
      </w:r>
      <w:r w:rsidRPr="00895EFC">
        <w:t>:</w:t>
      </w:r>
    </w:p>
    <w:p w14:paraId="6DEEC288" w14:textId="77777777" w:rsidR="00895EFC" w:rsidRPr="00987DC8" w:rsidRDefault="00895EFC" w:rsidP="00987DC8">
      <w:pPr>
        <w:pStyle w:val="ListParagraph"/>
        <w:numPr>
          <w:ilvl w:val="0"/>
          <w:numId w:val="13"/>
        </w:numPr>
        <w:spacing w:line="360" w:lineRule="auto"/>
        <w:ind w:left="426"/>
        <w:jc w:val="both"/>
        <w:rPr>
          <w:rFonts w:ascii="Times New Roman" w:hAnsi="Times New Roman" w:cs="Times New Roman"/>
        </w:rPr>
      </w:pPr>
      <w:r w:rsidRPr="00987DC8">
        <w:rPr>
          <w:rFonts w:ascii="Times New Roman" w:hAnsi="Times New Roman" w:cs="Times New Roman"/>
        </w:rPr>
        <w:t>Highlights the environmental consequences of nickel mining.</w:t>
      </w:r>
    </w:p>
    <w:p w14:paraId="7BA9DD1B" w14:textId="77777777" w:rsidR="00895EFC" w:rsidRPr="00987DC8" w:rsidRDefault="00895EFC" w:rsidP="00987DC8">
      <w:pPr>
        <w:pStyle w:val="ListParagraph"/>
        <w:numPr>
          <w:ilvl w:val="0"/>
          <w:numId w:val="13"/>
        </w:numPr>
        <w:spacing w:line="360" w:lineRule="auto"/>
        <w:ind w:left="426"/>
        <w:jc w:val="both"/>
        <w:rPr>
          <w:rFonts w:ascii="Times New Roman" w:hAnsi="Times New Roman" w:cs="Times New Roman"/>
        </w:rPr>
      </w:pPr>
      <w:r w:rsidRPr="00987DC8">
        <w:rPr>
          <w:rFonts w:ascii="Times New Roman" w:hAnsi="Times New Roman" w:cs="Times New Roman"/>
        </w:rPr>
        <w:t>Uses statements from NGOs, academics, and environmental experts who express concerns about ecosystem degradation and marine biodiversity loss.</w:t>
      </w:r>
    </w:p>
    <w:p w14:paraId="3E943ED5" w14:textId="77777777" w:rsidR="00895EFC" w:rsidRPr="00987DC8" w:rsidRDefault="00895EFC" w:rsidP="00987DC8">
      <w:pPr>
        <w:pStyle w:val="ListParagraph"/>
        <w:numPr>
          <w:ilvl w:val="0"/>
          <w:numId w:val="13"/>
        </w:numPr>
        <w:spacing w:line="360" w:lineRule="auto"/>
        <w:ind w:left="426"/>
        <w:jc w:val="both"/>
        <w:rPr>
          <w:rFonts w:ascii="Times New Roman" w:hAnsi="Times New Roman" w:cs="Times New Roman"/>
        </w:rPr>
      </w:pPr>
      <w:r w:rsidRPr="00987DC8">
        <w:rPr>
          <w:rFonts w:ascii="Times New Roman" w:hAnsi="Times New Roman" w:cs="Times New Roman"/>
        </w:rPr>
        <w:t>Discusses local community resistance, focusing on fears of livelihood disruption and tourism decline.</w:t>
      </w:r>
    </w:p>
    <w:p w14:paraId="583B4C1E" w14:textId="77777777" w:rsidR="00895EFC" w:rsidRPr="00895EFC" w:rsidRDefault="00895EFC" w:rsidP="00987DC8">
      <w:pPr>
        <w:pStyle w:val="ListParagraph"/>
        <w:numPr>
          <w:ilvl w:val="0"/>
          <w:numId w:val="13"/>
        </w:numPr>
        <w:spacing w:line="360" w:lineRule="auto"/>
        <w:ind w:left="426"/>
        <w:jc w:val="both"/>
      </w:pPr>
      <w:r w:rsidRPr="00987DC8">
        <w:rPr>
          <w:rFonts w:ascii="Times New Roman" w:hAnsi="Times New Roman" w:cs="Times New Roman"/>
        </w:rPr>
        <w:lastRenderedPageBreak/>
        <w:t>Challenges government claims of sustainability by presenting scientific evidence and alternative perspectives</w:t>
      </w:r>
      <w:r w:rsidRPr="00895EFC">
        <w:t>.</w:t>
      </w:r>
    </w:p>
    <w:p w14:paraId="75E3F376" w14:textId="77777777" w:rsidR="00895EFC" w:rsidRPr="00895EFC" w:rsidRDefault="00895EFC" w:rsidP="00987DC8">
      <w:pPr>
        <w:spacing w:after="240" w:line="360" w:lineRule="auto"/>
        <w:ind w:firstLine="720"/>
        <w:jc w:val="both"/>
      </w:pPr>
      <w:r w:rsidRPr="00895EFC">
        <w:t xml:space="preserve">Although </w:t>
      </w:r>
      <w:r w:rsidRPr="00895EFC">
        <w:rPr>
          <w:i/>
          <w:iCs/>
        </w:rPr>
        <w:t>Tempo</w:t>
      </w:r>
      <w:r w:rsidRPr="00895EFC">
        <w:t xml:space="preserve"> attempts to cover both sides, its framing tends to prioritize environmental concerns over government narratives, positioning itself as a watchdog of public interest.</w:t>
      </w:r>
    </w:p>
    <w:p w14:paraId="28D53634" w14:textId="54ECD6FF" w:rsidR="00895EFC" w:rsidRPr="00987DC8" w:rsidRDefault="00895EFC" w:rsidP="00987DC8">
      <w:pPr>
        <w:pStyle w:val="ListParagraph"/>
        <w:numPr>
          <w:ilvl w:val="0"/>
          <w:numId w:val="15"/>
        </w:numPr>
        <w:spacing w:line="360" w:lineRule="auto"/>
        <w:ind w:left="426"/>
        <w:jc w:val="both"/>
        <w:rPr>
          <w:rFonts w:ascii="Times New Roman" w:hAnsi="Times New Roman" w:cs="Times New Roman"/>
          <w:b/>
          <w:bCs/>
        </w:rPr>
      </w:pPr>
      <w:r w:rsidRPr="00987DC8">
        <w:rPr>
          <w:rFonts w:ascii="Times New Roman" w:hAnsi="Times New Roman" w:cs="Times New Roman"/>
          <w:b/>
          <w:bCs/>
        </w:rPr>
        <w:t>Media Indonesia’s Pro-Government Narrative</w:t>
      </w:r>
    </w:p>
    <w:p w14:paraId="168D37B8" w14:textId="77777777" w:rsidR="00895EFC" w:rsidRPr="00895EFC" w:rsidRDefault="00895EFC" w:rsidP="00987DC8">
      <w:pPr>
        <w:spacing w:line="360" w:lineRule="auto"/>
        <w:ind w:firstLine="720"/>
        <w:jc w:val="both"/>
      </w:pPr>
      <w:r w:rsidRPr="00987DC8">
        <w:t>Media</w:t>
      </w:r>
      <w:r w:rsidRPr="00895EFC">
        <w:rPr>
          <w:i/>
          <w:iCs/>
        </w:rPr>
        <w:t xml:space="preserve"> Indonesia</w:t>
      </w:r>
      <w:r w:rsidRPr="00895EFC">
        <w:t xml:space="preserve">, owned by Surya </w:t>
      </w:r>
      <w:proofErr w:type="spellStart"/>
      <w:r w:rsidRPr="00895EFC">
        <w:t>Paloh</w:t>
      </w:r>
      <w:proofErr w:type="spellEnd"/>
      <w:r w:rsidRPr="00895EFC">
        <w:t xml:space="preserve"> and affiliated with the Media Group Network, adopts a pro-government framing. In its article “Five Mining Companies Operating in Raja Ampat” </w:t>
      </w:r>
      <w:r w:rsidRPr="00895EFC">
        <w:rPr>
          <w:i/>
          <w:iCs/>
        </w:rPr>
        <w:t>(June 8, 2025 Media Indonesia)</w:t>
      </w:r>
      <w:r w:rsidRPr="00895EFC">
        <w:t>, the outlet:</w:t>
      </w:r>
    </w:p>
    <w:p w14:paraId="429F449E" w14:textId="77777777" w:rsidR="00895EFC" w:rsidRPr="00987DC8" w:rsidRDefault="00895EFC" w:rsidP="00987DC8">
      <w:pPr>
        <w:pStyle w:val="ListParagraph"/>
        <w:numPr>
          <w:ilvl w:val="0"/>
          <w:numId w:val="14"/>
        </w:numPr>
        <w:tabs>
          <w:tab w:val="clear" w:pos="720"/>
        </w:tabs>
        <w:spacing w:line="360" w:lineRule="auto"/>
        <w:ind w:left="426"/>
        <w:jc w:val="both"/>
        <w:rPr>
          <w:rFonts w:ascii="Times New Roman" w:hAnsi="Times New Roman" w:cs="Times New Roman"/>
        </w:rPr>
      </w:pPr>
      <w:r w:rsidRPr="00987DC8">
        <w:rPr>
          <w:rFonts w:ascii="Times New Roman" w:hAnsi="Times New Roman" w:cs="Times New Roman"/>
        </w:rPr>
        <w:t>Emphasizes government assurances regarding environmental safety and legal compliance.</w:t>
      </w:r>
    </w:p>
    <w:p w14:paraId="731832C5" w14:textId="77777777" w:rsidR="00895EFC" w:rsidRPr="00987DC8" w:rsidRDefault="00895EFC" w:rsidP="00987DC8">
      <w:pPr>
        <w:pStyle w:val="ListParagraph"/>
        <w:numPr>
          <w:ilvl w:val="0"/>
          <w:numId w:val="14"/>
        </w:numPr>
        <w:tabs>
          <w:tab w:val="clear" w:pos="720"/>
        </w:tabs>
        <w:spacing w:line="360" w:lineRule="auto"/>
        <w:ind w:left="426"/>
        <w:jc w:val="both"/>
        <w:rPr>
          <w:rFonts w:ascii="Times New Roman" w:hAnsi="Times New Roman" w:cs="Times New Roman"/>
        </w:rPr>
      </w:pPr>
      <w:r w:rsidRPr="00987DC8">
        <w:rPr>
          <w:rFonts w:ascii="Times New Roman" w:hAnsi="Times New Roman" w:cs="Times New Roman"/>
        </w:rPr>
        <w:t>Features statements from the Ministry of Energy and Mineral Resources (ESDM), Raja Ampat local officials, and company representatives such as PT Gag Nickel.</w:t>
      </w:r>
    </w:p>
    <w:p w14:paraId="37EB57A3" w14:textId="77777777" w:rsidR="00987DC8" w:rsidRDefault="00895EFC" w:rsidP="00987DC8">
      <w:pPr>
        <w:pStyle w:val="ListParagraph"/>
        <w:numPr>
          <w:ilvl w:val="0"/>
          <w:numId w:val="14"/>
        </w:numPr>
        <w:tabs>
          <w:tab w:val="clear" w:pos="720"/>
        </w:tabs>
        <w:spacing w:line="360" w:lineRule="auto"/>
        <w:ind w:left="426"/>
        <w:jc w:val="both"/>
        <w:rPr>
          <w:rFonts w:ascii="Times New Roman" w:hAnsi="Times New Roman" w:cs="Times New Roman"/>
        </w:rPr>
      </w:pPr>
      <w:r w:rsidRPr="00987DC8">
        <w:rPr>
          <w:rFonts w:ascii="Times New Roman" w:hAnsi="Times New Roman" w:cs="Times New Roman"/>
        </w:rPr>
        <w:t>Promotes the narrative that nickel mining activities bring economic benefits, including job creation, infrastructure development, and increased regional income.</w:t>
      </w:r>
    </w:p>
    <w:p w14:paraId="4E055B33" w14:textId="73379F68" w:rsidR="00895EFC" w:rsidRPr="00987DC8" w:rsidRDefault="00895EFC" w:rsidP="00987DC8">
      <w:pPr>
        <w:pStyle w:val="ListParagraph"/>
        <w:numPr>
          <w:ilvl w:val="0"/>
          <w:numId w:val="14"/>
        </w:numPr>
        <w:tabs>
          <w:tab w:val="clear" w:pos="720"/>
        </w:tabs>
        <w:spacing w:line="360" w:lineRule="auto"/>
        <w:ind w:left="426"/>
        <w:jc w:val="both"/>
        <w:rPr>
          <w:rFonts w:ascii="Times New Roman" w:hAnsi="Times New Roman" w:cs="Times New Roman"/>
        </w:rPr>
      </w:pPr>
      <w:r w:rsidRPr="00987DC8">
        <w:rPr>
          <w:rFonts w:ascii="Times New Roman" w:hAnsi="Times New Roman" w:cs="Times New Roman"/>
        </w:rPr>
        <w:t>Minimizes or excludes voices critical of nickel mining, resulting in one-sided reporting.</w:t>
      </w:r>
    </w:p>
    <w:p w14:paraId="085CD88E" w14:textId="3445DF79" w:rsidR="00895EFC" w:rsidRPr="00895EFC" w:rsidRDefault="00895EFC" w:rsidP="00987DC8">
      <w:pPr>
        <w:spacing w:after="240" w:line="360" w:lineRule="auto"/>
        <w:ind w:firstLine="720"/>
        <w:jc w:val="both"/>
      </w:pPr>
      <w:r w:rsidRPr="00895EFC">
        <w:t>This framing reflects Media Indonesia’s alignment with government policy and suggests that ownership structure and political affiliations strongly influence editorial decisions.</w:t>
      </w:r>
    </w:p>
    <w:p w14:paraId="6CEC638D" w14:textId="42B82824" w:rsidR="00895EFC" w:rsidRPr="00987DC8" w:rsidRDefault="00895EFC" w:rsidP="00987DC8">
      <w:pPr>
        <w:pStyle w:val="ListParagraph"/>
        <w:numPr>
          <w:ilvl w:val="0"/>
          <w:numId w:val="15"/>
        </w:numPr>
        <w:spacing w:line="360" w:lineRule="auto"/>
        <w:ind w:left="426"/>
        <w:jc w:val="both"/>
        <w:rPr>
          <w:rFonts w:ascii="Times New Roman" w:hAnsi="Times New Roman" w:cs="Times New Roman"/>
          <w:b/>
          <w:bCs/>
        </w:rPr>
      </w:pPr>
      <w:r w:rsidRPr="00987DC8">
        <w:rPr>
          <w:rFonts w:ascii="Times New Roman" w:hAnsi="Times New Roman" w:cs="Times New Roman"/>
          <w:b/>
          <w:bCs/>
        </w:rPr>
        <w:t>The Influence of Media Political Economy</w:t>
      </w:r>
    </w:p>
    <w:p w14:paraId="43B3F941" w14:textId="77777777" w:rsidR="00895EFC" w:rsidRPr="00895EFC" w:rsidRDefault="00895EFC" w:rsidP="00895EFC">
      <w:pPr>
        <w:spacing w:line="360" w:lineRule="auto"/>
        <w:ind w:firstLine="720"/>
        <w:jc w:val="both"/>
      </w:pPr>
      <w:r w:rsidRPr="00895EFC">
        <w:t xml:space="preserve">The framing differences between </w:t>
      </w:r>
      <w:r w:rsidRPr="00895EFC">
        <w:rPr>
          <w:i/>
          <w:iCs/>
        </w:rPr>
        <w:t>Tempo</w:t>
      </w:r>
      <w:r w:rsidRPr="00895EFC">
        <w:t xml:space="preserve"> and </w:t>
      </w:r>
      <w:r w:rsidRPr="00895EFC">
        <w:rPr>
          <w:i/>
          <w:iCs/>
        </w:rPr>
        <w:t>Media Indonesia</w:t>
      </w:r>
      <w:r w:rsidRPr="00895EFC">
        <w:t xml:space="preserve"> can be understood through the lens of media political economy theory </w:t>
      </w:r>
      <w:r w:rsidRPr="00895EFC">
        <w:rPr>
          <w:i/>
          <w:iCs/>
        </w:rPr>
        <w:t>(</w:t>
      </w:r>
      <w:proofErr w:type="spellStart"/>
      <w:r w:rsidRPr="00895EFC">
        <w:rPr>
          <w:i/>
          <w:iCs/>
        </w:rPr>
        <w:t>McQuail</w:t>
      </w:r>
      <w:proofErr w:type="spellEnd"/>
      <w:r w:rsidRPr="00895EFC">
        <w:rPr>
          <w:i/>
          <w:iCs/>
        </w:rPr>
        <w:t>, 2010; Mosco, 1996:105)</w:t>
      </w:r>
      <w:r w:rsidRPr="00895EFC">
        <w:t>, which explains how media ownership, political interests, and economic structures shape news content.</w:t>
      </w:r>
    </w:p>
    <w:p w14:paraId="6A6E1524" w14:textId="77777777" w:rsidR="00895EFC" w:rsidRPr="00895EFC" w:rsidRDefault="00895EFC" w:rsidP="00895EFC">
      <w:pPr>
        <w:spacing w:line="360" w:lineRule="auto"/>
        <w:jc w:val="both"/>
      </w:pPr>
      <w:r w:rsidRPr="00895EFC">
        <w:t xml:space="preserve">According to Westley and MacLean’s communication model </w:t>
      </w:r>
      <w:r w:rsidRPr="00895EFC">
        <w:rPr>
          <w:i/>
          <w:iCs/>
        </w:rPr>
        <w:t>(1957)</w:t>
      </w:r>
      <w:r w:rsidRPr="00895EFC">
        <w:t>, media institutions operate within a network of formal and informal controls, including:</w:t>
      </w:r>
    </w:p>
    <w:p w14:paraId="1C2E00D0" w14:textId="77777777" w:rsidR="00895EFC" w:rsidRPr="00987DC8" w:rsidRDefault="00895EFC" w:rsidP="00987DC8">
      <w:pPr>
        <w:pStyle w:val="ListParagraph"/>
        <w:numPr>
          <w:ilvl w:val="0"/>
          <w:numId w:val="14"/>
        </w:numPr>
        <w:tabs>
          <w:tab w:val="clear" w:pos="720"/>
        </w:tabs>
        <w:spacing w:line="360" w:lineRule="auto"/>
        <w:ind w:left="426"/>
        <w:jc w:val="both"/>
        <w:rPr>
          <w:rFonts w:ascii="Times New Roman" w:hAnsi="Times New Roman" w:cs="Times New Roman"/>
        </w:rPr>
      </w:pPr>
      <w:r w:rsidRPr="00987DC8">
        <w:rPr>
          <w:rFonts w:ascii="Times New Roman" w:hAnsi="Times New Roman" w:cs="Times New Roman"/>
        </w:rPr>
        <w:t>Institutional ownership interests: Media owners influence editorial policies.</w:t>
      </w:r>
    </w:p>
    <w:p w14:paraId="2BE1F345" w14:textId="77777777" w:rsidR="00895EFC" w:rsidRPr="00987DC8" w:rsidRDefault="00895EFC" w:rsidP="00987DC8">
      <w:pPr>
        <w:pStyle w:val="ListParagraph"/>
        <w:numPr>
          <w:ilvl w:val="0"/>
          <w:numId w:val="14"/>
        </w:numPr>
        <w:tabs>
          <w:tab w:val="clear" w:pos="720"/>
        </w:tabs>
        <w:spacing w:line="360" w:lineRule="auto"/>
        <w:ind w:left="426"/>
        <w:jc w:val="both"/>
        <w:rPr>
          <w:rFonts w:ascii="Times New Roman" w:hAnsi="Times New Roman" w:cs="Times New Roman"/>
        </w:rPr>
      </w:pPr>
      <w:r w:rsidRPr="00987DC8">
        <w:rPr>
          <w:rFonts w:ascii="Times New Roman" w:hAnsi="Times New Roman" w:cs="Times New Roman"/>
        </w:rPr>
        <w:t>Political affiliations: Alignment with or opposition to government agendas affects news framing.</w:t>
      </w:r>
    </w:p>
    <w:p w14:paraId="163E7164" w14:textId="77777777" w:rsidR="00895EFC" w:rsidRPr="00987DC8" w:rsidRDefault="00895EFC" w:rsidP="00987DC8">
      <w:pPr>
        <w:pStyle w:val="ListParagraph"/>
        <w:numPr>
          <w:ilvl w:val="0"/>
          <w:numId w:val="14"/>
        </w:numPr>
        <w:tabs>
          <w:tab w:val="clear" w:pos="720"/>
        </w:tabs>
        <w:spacing w:line="360" w:lineRule="auto"/>
        <w:ind w:left="426"/>
        <w:jc w:val="both"/>
        <w:rPr>
          <w:rFonts w:ascii="Times New Roman" w:hAnsi="Times New Roman" w:cs="Times New Roman"/>
        </w:rPr>
      </w:pPr>
      <w:r w:rsidRPr="00987DC8">
        <w:rPr>
          <w:rFonts w:ascii="Times New Roman" w:hAnsi="Times New Roman" w:cs="Times New Roman"/>
        </w:rPr>
        <w:t>Economic dependencies: Advertising, investments, and business relations impact content neutrality.</w:t>
      </w:r>
    </w:p>
    <w:p w14:paraId="7490BC34" w14:textId="77777777" w:rsidR="00895EFC" w:rsidRPr="00987DC8" w:rsidRDefault="00895EFC" w:rsidP="00987DC8">
      <w:pPr>
        <w:pStyle w:val="ListParagraph"/>
        <w:numPr>
          <w:ilvl w:val="0"/>
          <w:numId w:val="14"/>
        </w:numPr>
        <w:tabs>
          <w:tab w:val="clear" w:pos="720"/>
        </w:tabs>
        <w:spacing w:line="360" w:lineRule="auto"/>
        <w:ind w:left="426"/>
        <w:jc w:val="both"/>
        <w:rPr>
          <w:rFonts w:ascii="Times New Roman" w:hAnsi="Times New Roman" w:cs="Times New Roman"/>
        </w:rPr>
      </w:pPr>
      <w:r w:rsidRPr="00987DC8">
        <w:rPr>
          <w:rFonts w:ascii="Times New Roman" w:hAnsi="Times New Roman" w:cs="Times New Roman"/>
        </w:rPr>
        <w:t>Media logic: Each outlet develops its own framework for selecting, constructing, and presenting “reality.”</w:t>
      </w:r>
    </w:p>
    <w:p w14:paraId="6F90FD8A" w14:textId="77777777" w:rsidR="00895EFC" w:rsidRPr="00895EFC" w:rsidRDefault="00895EFC" w:rsidP="00895EFC">
      <w:pPr>
        <w:spacing w:line="360" w:lineRule="auto"/>
        <w:jc w:val="both"/>
      </w:pPr>
      <w:r w:rsidRPr="00895EFC">
        <w:lastRenderedPageBreak/>
        <w:t>In this case:</w:t>
      </w:r>
    </w:p>
    <w:p w14:paraId="285B91A4" w14:textId="77777777" w:rsidR="00895EFC" w:rsidRPr="00987DC8" w:rsidRDefault="00895EFC" w:rsidP="00987DC8">
      <w:pPr>
        <w:pStyle w:val="ListParagraph"/>
        <w:numPr>
          <w:ilvl w:val="0"/>
          <w:numId w:val="14"/>
        </w:numPr>
        <w:tabs>
          <w:tab w:val="clear" w:pos="720"/>
        </w:tabs>
        <w:spacing w:line="360" w:lineRule="auto"/>
        <w:ind w:left="426"/>
        <w:jc w:val="both"/>
        <w:rPr>
          <w:rFonts w:ascii="Times New Roman" w:hAnsi="Times New Roman" w:cs="Times New Roman"/>
        </w:rPr>
      </w:pPr>
      <w:r w:rsidRPr="00987DC8">
        <w:rPr>
          <w:rFonts w:ascii="Times New Roman" w:hAnsi="Times New Roman" w:cs="Times New Roman"/>
        </w:rPr>
        <w:t>Tempo operates with greater editorial independence, maintaining its tradition of investigative journalism and critical reporting, despite potential political pressures.</w:t>
      </w:r>
    </w:p>
    <w:p w14:paraId="5BEF19D1" w14:textId="77777777" w:rsidR="00895EFC" w:rsidRPr="00895EFC" w:rsidRDefault="00895EFC" w:rsidP="00987DC8">
      <w:pPr>
        <w:pStyle w:val="ListParagraph"/>
        <w:numPr>
          <w:ilvl w:val="0"/>
          <w:numId w:val="14"/>
        </w:numPr>
        <w:tabs>
          <w:tab w:val="clear" w:pos="720"/>
        </w:tabs>
        <w:spacing w:line="360" w:lineRule="auto"/>
        <w:ind w:left="426"/>
        <w:jc w:val="both"/>
      </w:pPr>
      <w:r w:rsidRPr="00987DC8">
        <w:rPr>
          <w:rFonts w:ascii="Times New Roman" w:hAnsi="Times New Roman" w:cs="Times New Roman"/>
        </w:rPr>
        <w:t>Media Indonesia, as part of a politically affiliated conglomerate, demonstrates a tendency to align</w:t>
      </w:r>
      <w:r w:rsidRPr="00895EFC">
        <w:t xml:space="preserve"> its reporting with government policies and economic development narratives.</w:t>
      </w:r>
    </w:p>
    <w:p w14:paraId="7EBE4D93" w14:textId="77777777" w:rsidR="00895EFC" w:rsidRPr="00895EFC" w:rsidRDefault="00895EFC" w:rsidP="00895EFC">
      <w:pPr>
        <w:spacing w:line="360" w:lineRule="auto"/>
        <w:jc w:val="both"/>
      </w:pPr>
    </w:p>
    <w:p w14:paraId="65B2FAC2" w14:textId="3C0044FA" w:rsidR="00895EFC" w:rsidRPr="00987DC8" w:rsidRDefault="00895EFC" w:rsidP="00987DC8">
      <w:pPr>
        <w:pStyle w:val="ListParagraph"/>
        <w:numPr>
          <w:ilvl w:val="0"/>
          <w:numId w:val="15"/>
        </w:numPr>
        <w:spacing w:line="360" w:lineRule="auto"/>
        <w:ind w:left="426"/>
        <w:jc w:val="both"/>
        <w:rPr>
          <w:rFonts w:ascii="Times New Roman" w:hAnsi="Times New Roman" w:cs="Times New Roman"/>
          <w:b/>
          <w:bCs/>
        </w:rPr>
      </w:pPr>
      <w:r w:rsidRPr="00987DC8">
        <w:rPr>
          <w:rFonts w:ascii="Times New Roman" w:hAnsi="Times New Roman" w:cs="Times New Roman"/>
          <w:b/>
          <w:bCs/>
        </w:rPr>
        <w:t>Public Impact and Media Credibility</w:t>
      </w:r>
    </w:p>
    <w:p w14:paraId="1E4AD625" w14:textId="77777777" w:rsidR="00895EFC" w:rsidRPr="00895EFC" w:rsidRDefault="00895EFC" w:rsidP="00895EFC">
      <w:pPr>
        <w:spacing w:line="360" w:lineRule="auto"/>
        <w:jc w:val="both"/>
      </w:pPr>
      <w:r w:rsidRPr="00895EFC">
        <w:t>The divergent framing strategies influence public perception and trust:</w:t>
      </w:r>
    </w:p>
    <w:p w14:paraId="380611F9" w14:textId="77777777" w:rsidR="00895EFC" w:rsidRPr="00987DC8" w:rsidRDefault="00895EFC" w:rsidP="00987DC8">
      <w:pPr>
        <w:pStyle w:val="ListParagraph"/>
        <w:numPr>
          <w:ilvl w:val="0"/>
          <w:numId w:val="14"/>
        </w:numPr>
        <w:tabs>
          <w:tab w:val="clear" w:pos="720"/>
        </w:tabs>
        <w:spacing w:line="360" w:lineRule="auto"/>
        <w:ind w:left="426"/>
        <w:jc w:val="both"/>
        <w:rPr>
          <w:rFonts w:ascii="Times New Roman" w:hAnsi="Times New Roman" w:cs="Times New Roman"/>
        </w:rPr>
      </w:pPr>
      <w:r w:rsidRPr="00987DC8">
        <w:rPr>
          <w:rFonts w:ascii="Times New Roman" w:hAnsi="Times New Roman" w:cs="Times New Roman"/>
        </w:rPr>
        <w:t>Tempo appeals to readers who value environmental conservation and independent journalism, strengthening its reputation as a critical watchdog.</w:t>
      </w:r>
    </w:p>
    <w:p w14:paraId="5BEC50B3" w14:textId="77777777" w:rsidR="00895EFC" w:rsidRPr="00895EFC" w:rsidRDefault="00895EFC" w:rsidP="00987DC8">
      <w:pPr>
        <w:pStyle w:val="ListParagraph"/>
        <w:numPr>
          <w:ilvl w:val="0"/>
          <w:numId w:val="14"/>
        </w:numPr>
        <w:tabs>
          <w:tab w:val="clear" w:pos="720"/>
        </w:tabs>
        <w:spacing w:line="360" w:lineRule="auto"/>
        <w:ind w:left="426"/>
        <w:jc w:val="both"/>
      </w:pPr>
      <w:r w:rsidRPr="00987DC8">
        <w:rPr>
          <w:rFonts w:ascii="Times New Roman" w:hAnsi="Times New Roman" w:cs="Times New Roman"/>
        </w:rPr>
        <w:t>Media Indonesia reinforces government credibility, shaping public opinion to support state policies</w:t>
      </w:r>
      <w:r w:rsidRPr="00895EFC">
        <w:t xml:space="preserve"> and mining operations.</w:t>
      </w:r>
    </w:p>
    <w:p w14:paraId="13E0DBAA" w14:textId="77777777" w:rsidR="00895EFC" w:rsidRPr="00895EFC" w:rsidRDefault="00895EFC" w:rsidP="00987DC8">
      <w:pPr>
        <w:spacing w:line="360" w:lineRule="auto"/>
        <w:ind w:firstLine="720"/>
        <w:jc w:val="both"/>
      </w:pPr>
      <w:r w:rsidRPr="00895EFC">
        <w:t>This finding underscores how media political economy directly affects information accessibility, public discourse, and the formation of social attitudes.</w:t>
      </w:r>
    </w:p>
    <w:p w14:paraId="3457CD2B" w14:textId="77777777" w:rsidR="00895EFC" w:rsidRPr="00895EFC" w:rsidRDefault="00895EFC" w:rsidP="00895EFC">
      <w:pPr>
        <w:spacing w:line="360" w:lineRule="auto"/>
        <w:jc w:val="both"/>
      </w:pPr>
    </w:p>
    <w:p w14:paraId="2766BE3E" w14:textId="5DCB093A" w:rsidR="00895EFC" w:rsidRPr="00895EFC" w:rsidRDefault="00987DC8" w:rsidP="00895EFC">
      <w:pPr>
        <w:spacing w:line="360" w:lineRule="auto"/>
        <w:jc w:val="both"/>
        <w:rPr>
          <w:b/>
          <w:bCs/>
        </w:rPr>
      </w:pPr>
      <w:r w:rsidRPr="00895EFC">
        <w:rPr>
          <w:b/>
          <w:bCs/>
        </w:rPr>
        <w:t>CONCLUSION</w:t>
      </w:r>
    </w:p>
    <w:p w14:paraId="2B9D1F46" w14:textId="77777777" w:rsidR="00895EFC" w:rsidRPr="00895EFC" w:rsidRDefault="00895EFC" w:rsidP="00895EFC">
      <w:pPr>
        <w:spacing w:line="360" w:lineRule="auto"/>
        <w:ind w:firstLine="720"/>
        <w:jc w:val="both"/>
      </w:pPr>
      <w:r w:rsidRPr="00895EFC">
        <w:t xml:space="preserve">The findings of this study demonstrate that the political economy of the media has become an influential factor in shaping reporting styles and public perceptions in Indonesia’s post-reform media landscape. The results reveal a significant correlation between media systems, political structures, and economic interests. The study shows that media content is closely related to the ownership structure and political affiliations of media institutions. In the case of the nickel mining controversy in Raja Ampat, the differences in framing between </w:t>
      </w:r>
      <w:r w:rsidRPr="00895EFC">
        <w:rPr>
          <w:i/>
          <w:iCs/>
        </w:rPr>
        <w:t>Tempo</w:t>
      </w:r>
      <w:r w:rsidRPr="00895EFC">
        <w:t xml:space="preserve"> and </w:t>
      </w:r>
      <w:r w:rsidRPr="00895EFC">
        <w:rPr>
          <w:i/>
          <w:iCs/>
        </w:rPr>
        <w:t>Media Indonesia</w:t>
      </w:r>
      <w:r w:rsidRPr="00895EFC">
        <w:t xml:space="preserve"> illustrate how these factors influence news coverage:</w:t>
      </w:r>
    </w:p>
    <w:p w14:paraId="45C59699" w14:textId="77777777" w:rsidR="00895EFC" w:rsidRPr="00987DC8" w:rsidRDefault="00895EFC" w:rsidP="00987DC8">
      <w:pPr>
        <w:pStyle w:val="ListParagraph"/>
        <w:numPr>
          <w:ilvl w:val="0"/>
          <w:numId w:val="14"/>
        </w:numPr>
        <w:tabs>
          <w:tab w:val="clear" w:pos="720"/>
        </w:tabs>
        <w:spacing w:line="360" w:lineRule="auto"/>
        <w:ind w:left="426"/>
        <w:jc w:val="both"/>
        <w:rPr>
          <w:rFonts w:ascii="Times New Roman" w:hAnsi="Times New Roman" w:cs="Times New Roman"/>
        </w:rPr>
      </w:pPr>
      <w:r w:rsidRPr="00987DC8">
        <w:rPr>
          <w:rFonts w:ascii="Times New Roman" w:hAnsi="Times New Roman" w:cs="Times New Roman"/>
        </w:rPr>
        <w:t xml:space="preserve">Tempo, founded by </w:t>
      </w:r>
      <w:proofErr w:type="spellStart"/>
      <w:r w:rsidRPr="00987DC8">
        <w:rPr>
          <w:rFonts w:ascii="Times New Roman" w:hAnsi="Times New Roman" w:cs="Times New Roman"/>
        </w:rPr>
        <w:t>Goenawan</w:t>
      </w:r>
      <w:proofErr w:type="spellEnd"/>
      <w:r w:rsidRPr="00987DC8">
        <w:rPr>
          <w:rFonts w:ascii="Times New Roman" w:hAnsi="Times New Roman" w:cs="Times New Roman"/>
        </w:rPr>
        <w:t xml:space="preserve"> Mohamad and known for its investigative journalism style, frames the nickel mining issue with a negative sentiment, emphasizing environmental preservation and social impacts.</w:t>
      </w:r>
    </w:p>
    <w:p w14:paraId="482F4113" w14:textId="77777777" w:rsidR="00895EFC" w:rsidRPr="00895EFC" w:rsidRDefault="00895EFC" w:rsidP="00987DC8">
      <w:pPr>
        <w:pStyle w:val="ListParagraph"/>
        <w:numPr>
          <w:ilvl w:val="0"/>
          <w:numId w:val="14"/>
        </w:numPr>
        <w:tabs>
          <w:tab w:val="clear" w:pos="720"/>
        </w:tabs>
        <w:spacing w:line="360" w:lineRule="auto"/>
        <w:ind w:left="426"/>
        <w:jc w:val="both"/>
      </w:pPr>
      <w:r w:rsidRPr="00987DC8">
        <w:rPr>
          <w:rFonts w:ascii="Times New Roman" w:hAnsi="Times New Roman" w:cs="Times New Roman"/>
        </w:rPr>
        <w:t xml:space="preserve">Media Indonesia, owned by Surya </w:t>
      </w:r>
      <w:proofErr w:type="spellStart"/>
      <w:r w:rsidRPr="00987DC8">
        <w:rPr>
          <w:rFonts w:ascii="Times New Roman" w:hAnsi="Times New Roman" w:cs="Times New Roman"/>
        </w:rPr>
        <w:t>Paloh</w:t>
      </w:r>
      <w:proofErr w:type="spellEnd"/>
      <w:r w:rsidRPr="00987DC8">
        <w:rPr>
          <w:rFonts w:ascii="Times New Roman" w:hAnsi="Times New Roman" w:cs="Times New Roman"/>
        </w:rPr>
        <w:t xml:space="preserve"> and aligned with government policies, frames the same issue</w:t>
      </w:r>
      <w:r w:rsidRPr="00895EFC">
        <w:t xml:space="preserve"> with a positive sentiment, focusing on economic growth, policy support, and developmental benefits.</w:t>
      </w:r>
    </w:p>
    <w:p w14:paraId="57E05968" w14:textId="77777777" w:rsidR="00895EFC" w:rsidRPr="00895EFC" w:rsidRDefault="00895EFC" w:rsidP="00895EFC">
      <w:pPr>
        <w:spacing w:line="360" w:lineRule="auto"/>
        <w:ind w:firstLine="720"/>
        <w:jc w:val="both"/>
      </w:pPr>
      <w:r w:rsidRPr="00895EFC">
        <w:t xml:space="preserve">These findings support Westley and MacLean’s media and society formation theory </w:t>
      </w:r>
      <w:r w:rsidRPr="00895EFC">
        <w:rPr>
          <w:i/>
          <w:iCs/>
        </w:rPr>
        <w:t xml:space="preserve">(1957 in </w:t>
      </w:r>
      <w:proofErr w:type="spellStart"/>
      <w:r w:rsidRPr="00895EFC">
        <w:rPr>
          <w:i/>
          <w:iCs/>
        </w:rPr>
        <w:t>McQuail</w:t>
      </w:r>
      <w:proofErr w:type="spellEnd"/>
      <w:r w:rsidRPr="00895EFC">
        <w:rPr>
          <w:i/>
          <w:iCs/>
        </w:rPr>
        <w:t>, 2010, 53)</w:t>
      </w:r>
      <w:r w:rsidRPr="00895EFC">
        <w:t xml:space="preserve">, which highlights several determinants of media coverage, including institutional control, organizational motives, and media logic. The study confirms </w:t>
      </w:r>
      <w:r w:rsidRPr="00895EFC">
        <w:lastRenderedPageBreak/>
        <w:t>that media ownership and political economy structures directly shape editorial perspectives and influence how information is framed and delivered to the public. Therefore, understanding the dynamics of media political economy is essential for critically evaluating media content, promoting balanced reporting, and fostering media literacy among the public. Such awareness helps society better interpret how media narratives are constructed and encourages greater accountability in journalism practice</w:t>
      </w:r>
    </w:p>
    <w:p w14:paraId="0852008F" w14:textId="77777777" w:rsidR="002712A1" w:rsidRPr="00895EFC" w:rsidRDefault="002712A1" w:rsidP="002712A1">
      <w:pPr>
        <w:widowControl w:val="0"/>
        <w:autoSpaceDE w:val="0"/>
        <w:autoSpaceDN w:val="0"/>
        <w:adjustRightInd w:val="0"/>
        <w:spacing w:line="360" w:lineRule="auto"/>
        <w:jc w:val="both"/>
        <w:rPr>
          <w:color w:val="000000"/>
        </w:rPr>
      </w:pPr>
    </w:p>
    <w:sdt>
      <w:sdtPr>
        <w:rPr>
          <w:rFonts w:ascii="Times New Roman" w:eastAsia="Times New Roman" w:hAnsi="Times New Roman" w:cs="Times New Roman"/>
          <w:b/>
          <w:bCs/>
          <w:color w:val="auto"/>
          <w:sz w:val="24"/>
          <w:szCs w:val="24"/>
          <w:lang w:val="de-DE"/>
        </w:rPr>
        <w:id w:val="-214279563"/>
        <w:docPartObj>
          <w:docPartGallery w:val="Bibliographies"/>
          <w:docPartUnique/>
        </w:docPartObj>
      </w:sdtPr>
      <w:sdtEndPr>
        <w:rPr>
          <w:rFonts w:eastAsiaTheme="minorHAnsi"/>
          <w:b w:val="0"/>
          <w:bCs w:val="0"/>
          <w:lang w:val="en-US"/>
        </w:rPr>
      </w:sdtEndPr>
      <w:sdtContent>
        <w:p w14:paraId="4A6C2F7E" w14:textId="0A54505A" w:rsidR="005624F3" w:rsidRPr="00895EFC" w:rsidRDefault="00987DC8" w:rsidP="00987DC8">
          <w:pPr>
            <w:pStyle w:val="Heading2"/>
            <w:spacing w:after="240"/>
            <w:rPr>
              <w:rFonts w:ascii="Times New Roman" w:eastAsia="Times New Roman" w:hAnsi="Times New Roman" w:cs="Times New Roman"/>
              <w:b/>
              <w:bCs/>
              <w:color w:val="auto"/>
              <w:sz w:val="24"/>
              <w:szCs w:val="24"/>
              <w:lang w:val="de-DE"/>
            </w:rPr>
          </w:pPr>
          <w:r>
            <w:rPr>
              <w:rFonts w:ascii="Times New Roman" w:eastAsia="Times New Roman" w:hAnsi="Times New Roman" w:cs="Times New Roman"/>
              <w:b/>
              <w:bCs/>
              <w:color w:val="auto"/>
              <w:sz w:val="24"/>
              <w:szCs w:val="24"/>
              <w:lang w:val="de-DE"/>
            </w:rPr>
            <w:t>REFERENCES</w:t>
          </w:r>
        </w:p>
        <w:sdt>
          <w:sdtPr>
            <w:id w:val="111145805"/>
            <w:bibliography/>
          </w:sdtPr>
          <w:sdtEndPr/>
          <w:sdtContent>
            <w:p w14:paraId="2794AEDC" w14:textId="09F9322C" w:rsidR="005624F3" w:rsidRPr="00895EFC" w:rsidRDefault="005624F3" w:rsidP="00513D75">
              <w:pPr>
                <w:pStyle w:val="Bibliography"/>
                <w:ind w:left="720" w:hanging="720"/>
                <w:jc w:val="both"/>
              </w:pPr>
              <w:r w:rsidRPr="00895EFC">
                <w:fldChar w:fldCharType="begin"/>
              </w:r>
              <w:r w:rsidRPr="00895EFC">
                <w:instrText xml:space="preserve"> BIBLIOGRAPHY </w:instrText>
              </w:r>
              <w:r w:rsidRPr="00895EFC">
                <w:fldChar w:fldCharType="separate"/>
              </w:r>
              <w:r w:rsidRPr="00895EFC">
                <w:rPr>
                  <w:noProof/>
                </w:rPr>
                <w:t xml:space="preserve">Aisiyah, C., A’vun, Q., Royani, S., &amp; Haq, W. (2024). Pengaruh Pandawara Grup Di Sosial Media Terhadap Literasi Kebersihan Lingkungan Pada Kalangan Mahasiswa Di Universitas Pendidikan Indonesia. </w:t>
              </w:r>
              <w:r w:rsidRPr="00895EFC">
                <w:rPr>
                  <w:i/>
                  <w:iCs/>
                  <w:noProof/>
                </w:rPr>
                <w:t>Jurnal Pengabdian Kepada Masyarakat mandiri (JPMM), 2</w:t>
              </w:r>
              <w:r w:rsidRPr="00895EFC">
                <w:rPr>
                  <w:noProof/>
                </w:rPr>
                <w:t>(2), 87-97.</w:t>
              </w:r>
            </w:p>
            <w:p w14:paraId="188FD121" w14:textId="6FD42EDB" w:rsidR="005624F3" w:rsidRPr="00895EFC" w:rsidRDefault="005624F3" w:rsidP="00E55D21">
              <w:pPr>
                <w:pStyle w:val="Bibliography"/>
                <w:ind w:left="720" w:hanging="720"/>
                <w:jc w:val="both"/>
                <w:rPr>
                  <w:noProof/>
                </w:rPr>
              </w:pPr>
              <w:r w:rsidRPr="00895EFC">
                <w:rPr>
                  <w:noProof/>
                </w:rPr>
                <w:t xml:space="preserve">Ardian, H. (2019). Kajian Teori Komunikasi Lingkungan Dalam Penelitian Pengelolaan Sumber Daya Alam. </w:t>
              </w:r>
              <w:r w:rsidRPr="00895EFC">
                <w:rPr>
                  <w:i/>
                  <w:iCs/>
                  <w:noProof/>
                </w:rPr>
                <w:t>Perspektif Komunikasi</w:t>
              </w:r>
              <w:r w:rsidRPr="00895EFC">
                <w:rPr>
                  <w:noProof/>
                </w:rPr>
                <w:t>, 1-20.</w:t>
              </w:r>
            </w:p>
            <w:p w14:paraId="4A12216B" w14:textId="7D2478CF" w:rsidR="005624F3" w:rsidRPr="00895EFC" w:rsidRDefault="005624F3" w:rsidP="00E55D21">
              <w:pPr>
                <w:pStyle w:val="Bibliography"/>
                <w:ind w:left="720" w:hanging="720"/>
                <w:jc w:val="both"/>
                <w:rPr>
                  <w:noProof/>
                  <w:lang w:val="de-DE"/>
                </w:rPr>
              </w:pPr>
              <w:r w:rsidRPr="00895EFC">
                <w:rPr>
                  <w:noProof/>
                </w:rPr>
                <w:t xml:space="preserve">Creswell, J. (1998). </w:t>
              </w:r>
              <w:r w:rsidRPr="00895EFC">
                <w:rPr>
                  <w:i/>
                  <w:iCs/>
                  <w:noProof/>
                </w:rPr>
                <w:t>Qualitative Inquiry and Research Design: Choosing among Five Tradition.</w:t>
              </w:r>
              <w:r w:rsidRPr="00895EFC">
                <w:rPr>
                  <w:noProof/>
                </w:rPr>
                <w:t xml:space="preserve"> </w:t>
              </w:r>
              <w:r w:rsidRPr="00895EFC">
                <w:rPr>
                  <w:noProof/>
                  <w:lang w:val="de-DE"/>
                </w:rPr>
                <w:t>London: Sage Publications.</w:t>
              </w:r>
            </w:p>
            <w:p w14:paraId="3CE60290" w14:textId="77777777" w:rsidR="005624F3" w:rsidRPr="00895EFC" w:rsidRDefault="005624F3" w:rsidP="00E55D21">
              <w:pPr>
                <w:pStyle w:val="Bibliography"/>
                <w:ind w:left="720" w:hanging="720"/>
                <w:jc w:val="both"/>
                <w:rPr>
                  <w:noProof/>
                  <w:lang w:val="de-DE"/>
                </w:rPr>
              </w:pPr>
              <w:r w:rsidRPr="00895EFC">
                <w:rPr>
                  <w:noProof/>
                  <w:lang w:val="de-DE"/>
                </w:rPr>
                <w:t xml:space="preserve">Krisyantono, R. (2012). </w:t>
              </w:r>
              <w:r w:rsidRPr="00895EFC">
                <w:rPr>
                  <w:i/>
                  <w:iCs/>
                  <w:noProof/>
                  <w:lang w:val="de-DE"/>
                </w:rPr>
                <w:t>Teknik Praktis: Riset Komunikasi.</w:t>
              </w:r>
              <w:r w:rsidRPr="00895EFC">
                <w:rPr>
                  <w:noProof/>
                  <w:lang w:val="de-DE"/>
                </w:rPr>
                <w:t xml:space="preserve"> Jakarta: Kencana.</w:t>
              </w:r>
            </w:p>
            <w:p w14:paraId="484D4E1D" w14:textId="61785B6B" w:rsidR="005624F3" w:rsidRPr="00895EFC" w:rsidRDefault="005624F3" w:rsidP="00E55D21">
              <w:pPr>
                <w:pStyle w:val="Bibliography"/>
                <w:ind w:left="720" w:hanging="720"/>
                <w:jc w:val="both"/>
                <w:rPr>
                  <w:noProof/>
                </w:rPr>
              </w:pPr>
              <w:r w:rsidRPr="00895EFC">
                <w:rPr>
                  <w:noProof/>
                </w:rPr>
                <w:t xml:space="preserve">Listiyani, Q., Khasanah, W., &amp; Purwanti, P. (2023). Kajian Permasalahan Pengelolaan Sampah di TPST Bantargebang Kota Bekasi (Studi Kasus PLTSa Merah Putih). </w:t>
              </w:r>
              <w:r w:rsidRPr="00895EFC">
                <w:rPr>
                  <w:i/>
                  <w:iCs/>
                  <w:noProof/>
                </w:rPr>
                <w:t>Sinasis, 4</w:t>
              </w:r>
              <w:r w:rsidRPr="00895EFC">
                <w:rPr>
                  <w:noProof/>
                </w:rPr>
                <w:t>(1), 75-82.</w:t>
              </w:r>
            </w:p>
            <w:p w14:paraId="3E56E844" w14:textId="1F1D0CD0" w:rsidR="005624F3" w:rsidRPr="00895EFC" w:rsidRDefault="005624F3" w:rsidP="00E55D21">
              <w:pPr>
                <w:pStyle w:val="Bibliography"/>
                <w:ind w:left="720" w:hanging="720"/>
                <w:jc w:val="both"/>
                <w:rPr>
                  <w:noProof/>
                </w:rPr>
              </w:pPr>
              <w:r w:rsidRPr="00895EFC">
                <w:rPr>
                  <w:noProof/>
                </w:rPr>
                <w:t xml:space="preserve">Miles, M., &amp; Huberman, A. (1992). </w:t>
              </w:r>
              <w:r w:rsidRPr="00895EFC">
                <w:rPr>
                  <w:i/>
                  <w:iCs/>
                  <w:noProof/>
                </w:rPr>
                <w:t>Analisis data Kualitatif: Buku sumber tentang metode-metode baru.</w:t>
              </w:r>
              <w:r w:rsidRPr="00895EFC">
                <w:rPr>
                  <w:noProof/>
                </w:rPr>
                <w:t xml:space="preserve"> Jakarta: UI Press.</w:t>
              </w:r>
            </w:p>
            <w:p w14:paraId="6056A9FD" w14:textId="77777777" w:rsidR="005624F3" w:rsidRPr="00895EFC" w:rsidRDefault="005624F3" w:rsidP="00E55D21">
              <w:pPr>
                <w:pStyle w:val="Bibliography"/>
                <w:ind w:left="720" w:hanging="720"/>
                <w:jc w:val="both"/>
                <w:rPr>
                  <w:noProof/>
                </w:rPr>
              </w:pPr>
              <w:r w:rsidRPr="00895EFC">
                <w:rPr>
                  <w:noProof/>
                </w:rPr>
                <w:t xml:space="preserve">Moleong, J. (2007). </w:t>
              </w:r>
              <w:r w:rsidRPr="00895EFC">
                <w:rPr>
                  <w:i/>
                  <w:iCs/>
                  <w:noProof/>
                </w:rPr>
                <w:t>Metodologi Penelitian Kualitatif.</w:t>
              </w:r>
              <w:r w:rsidRPr="00895EFC">
                <w:rPr>
                  <w:noProof/>
                </w:rPr>
                <w:t xml:space="preserve"> Bandung: PT. Remaja Rosdakarya.</w:t>
              </w:r>
            </w:p>
            <w:p w14:paraId="3EFB78E2" w14:textId="45F229DA" w:rsidR="005624F3" w:rsidRPr="00895EFC" w:rsidRDefault="005624F3" w:rsidP="00E55D21">
              <w:pPr>
                <w:pStyle w:val="Bibliography"/>
                <w:ind w:left="720" w:hanging="720"/>
                <w:jc w:val="both"/>
                <w:rPr>
                  <w:noProof/>
                </w:rPr>
              </w:pPr>
              <w:r w:rsidRPr="00895EFC">
                <w:rPr>
                  <w:noProof/>
                </w:rPr>
                <w:t xml:space="preserve">Nawawi, H., &amp; Martini, M. (1996). </w:t>
              </w:r>
              <w:r w:rsidRPr="00895EFC">
                <w:rPr>
                  <w:i/>
                  <w:iCs/>
                  <w:noProof/>
                </w:rPr>
                <w:t>Penelitian Terapan.</w:t>
              </w:r>
              <w:r w:rsidRPr="00895EFC">
                <w:rPr>
                  <w:noProof/>
                </w:rPr>
                <w:t xml:space="preserve"> Yogyakarta: Gajah Mada University Press.</w:t>
              </w:r>
            </w:p>
            <w:p w14:paraId="678B47D3" w14:textId="77777777" w:rsidR="005624F3" w:rsidRPr="00895EFC" w:rsidRDefault="005624F3" w:rsidP="00E55D21">
              <w:pPr>
                <w:pStyle w:val="Bibliography"/>
                <w:ind w:left="720" w:hanging="720"/>
                <w:jc w:val="both"/>
                <w:rPr>
                  <w:noProof/>
                </w:rPr>
              </w:pPr>
              <w:r w:rsidRPr="00895EFC">
                <w:rPr>
                  <w:noProof/>
                </w:rPr>
                <w:t xml:space="preserve">Pujiono, A. (2021). Media Sosial Sebagai Media Pembelajaran Bagi Generasi Z. </w:t>
              </w:r>
              <w:r w:rsidRPr="00895EFC">
                <w:rPr>
                  <w:i/>
                  <w:iCs/>
                  <w:noProof/>
                </w:rPr>
                <w:t>Didaché: Journal of Christian Education, 2</w:t>
              </w:r>
              <w:r w:rsidRPr="00895EFC">
                <w:rPr>
                  <w:noProof/>
                </w:rPr>
                <w:t>(1), 1-19.</w:t>
              </w:r>
            </w:p>
            <w:p w14:paraId="7436377E" w14:textId="19CFF7D7" w:rsidR="005624F3" w:rsidRPr="00895EFC" w:rsidRDefault="005624F3" w:rsidP="00E55D21">
              <w:pPr>
                <w:pStyle w:val="Bibliography"/>
                <w:ind w:left="720" w:hanging="720"/>
                <w:jc w:val="both"/>
                <w:rPr>
                  <w:noProof/>
                </w:rPr>
              </w:pPr>
              <w:r w:rsidRPr="00895EFC">
                <w:rPr>
                  <w:noProof/>
                </w:rPr>
                <w:t xml:space="preserve">Puspa, A. (2023, 7 11). </w:t>
              </w:r>
              <w:r w:rsidRPr="00895EFC">
                <w:rPr>
                  <w:i/>
                  <w:iCs/>
                  <w:noProof/>
                </w:rPr>
                <w:t>Humaniora</w:t>
              </w:r>
              <w:r w:rsidRPr="00895EFC">
                <w:rPr>
                  <w:noProof/>
                </w:rPr>
                <w:t>. Retrieved from Media Indonesia: https://mediaindonesia.com/humaniora/595815/pandawara-group-gugah-kesadaran-publik-akan-pentingnya-menjaga-lingkungan</w:t>
              </w:r>
            </w:p>
            <w:p w14:paraId="39DE73D1" w14:textId="468AE828" w:rsidR="005624F3" w:rsidRPr="00895EFC" w:rsidRDefault="005624F3" w:rsidP="00E55D21">
              <w:pPr>
                <w:pStyle w:val="Bibliography"/>
                <w:ind w:left="720" w:hanging="720"/>
                <w:jc w:val="both"/>
                <w:rPr>
                  <w:noProof/>
                </w:rPr>
              </w:pPr>
              <w:r w:rsidRPr="00895EFC">
                <w:rPr>
                  <w:noProof/>
                </w:rPr>
                <w:t xml:space="preserve">Qurniawati, R., &amp; Nurohman, Y. (2018). eWom Pada Generasi Z di Sosial Media. </w:t>
              </w:r>
              <w:r w:rsidRPr="00895EFC">
                <w:rPr>
                  <w:i/>
                  <w:iCs/>
                  <w:noProof/>
                </w:rPr>
                <w:t>Jurnal Manajemen Daya Saing, 20</w:t>
              </w:r>
              <w:r w:rsidRPr="00895EFC">
                <w:rPr>
                  <w:noProof/>
                </w:rPr>
                <w:t>(2), 70-80.</w:t>
              </w:r>
            </w:p>
            <w:p w14:paraId="7616A922" w14:textId="2ED44C5D" w:rsidR="005624F3" w:rsidRPr="00895EFC" w:rsidRDefault="005624F3" w:rsidP="00E55D21">
              <w:pPr>
                <w:pStyle w:val="Bibliography"/>
                <w:ind w:left="720" w:hanging="720"/>
                <w:jc w:val="both"/>
                <w:rPr>
                  <w:noProof/>
                </w:rPr>
              </w:pPr>
              <w:r w:rsidRPr="00895EFC">
                <w:rPr>
                  <w:noProof/>
                </w:rPr>
                <w:t xml:space="preserve">Rahman, A., &amp; Astriani, A. (2024). Audit Komunikasi Media Sosial Pandawara Group dalam Melakukan Kampanye Peduli Lingkungan. </w:t>
              </w:r>
              <w:r w:rsidRPr="00895EFC">
                <w:rPr>
                  <w:i/>
                  <w:iCs/>
                  <w:noProof/>
                </w:rPr>
                <w:t>Journal of Media and Communication Science, 7</w:t>
              </w:r>
              <w:r w:rsidRPr="00895EFC">
                <w:rPr>
                  <w:noProof/>
                </w:rPr>
                <w:t>(1), 7-18.</w:t>
              </w:r>
            </w:p>
            <w:p w14:paraId="31FA6FAB" w14:textId="77777777" w:rsidR="005624F3" w:rsidRPr="00895EFC" w:rsidRDefault="005624F3" w:rsidP="00E55D21">
              <w:pPr>
                <w:pStyle w:val="Bibliography"/>
                <w:ind w:left="720" w:hanging="720"/>
                <w:jc w:val="both"/>
                <w:rPr>
                  <w:noProof/>
                </w:rPr>
              </w:pPr>
              <w:r w:rsidRPr="00895EFC">
                <w:rPr>
                  <w:noProof/>
                </w:rPr>
                <w:t xml:space="preserve">Sugiyono. (2015). </w:t>
              </w:r>
              <w:r w:rsidRPr="00895EFC">
                <w:rPr>
                  <w:i/>
                  <w:iCs/>
                  <w:noProof/>
                </w:rPr>
                <w:t>Metode Penelitian Manajemen: Pendekatan Kuantitatif, Kualitatif, Kombinasi (Mixed Methods), Penelitian Tindakan (Action Research), Penelitian Evaluasi.</w:t>
              </w:r>
              <w:r w:rsidRPr="00895EFC">
                <w:rPr>
                  <w:noProof/>
                </w:rPr>
                <w:t xml:space="preserve"> Bandung: Alfabeta.</w:t>
              </w:r>
            </w:p>
            <w:p w14:paraId="1744B72A" w14:textId="6DF46B8D" w:rsidR="005624F3" w:rsidRPr="00895EFC" w:rsidRDefault="005624F3" w:rsidP="00E55D21">
              <w:pPr>
                <w:pStyle w:val="Bibliography"/>
                <w:ind w:left="720" w:hanging="720"/>
                <w:jc w:val="both"/>
                <w:rPr>
                  <w:noProof/>
                </w:rPr>
              </w:pPr>
              <w:r w:rsidRPr="00895EFC">
                <w:rPr>
                  <w:noProof/>
                </w:rPr>
                <w:t xml:space="preserve">Syafrina, A. (2023). Generation Z in Responding to Communication Trends on Instagram. </w:t>
              </w:r>
              <w:r w:rsidRPr="00895EFC">
                <w:rPr>
                  <w:i/>
                  <w:iCs/>
                  <w:noProof/>
                </w:rPr>
                <w:t>Semantik Journal of Social Media Communication and Journalism, 1</w:t>
              </w:r>
              <w:r w:rsidRPr="00895EFC">
                <w:rPr>
                  <w:noProof/>
                </w:rPr>
                <w:t>(2), 112-123.</w:t>
              </w:r>
            </w:p>
            <w:p w14:paraId="51DB06A5" w14:textId="77777777" w:rsidR="005624F3" w:rsidRPr="00895EFC" w:rsidRDefault="005624F3" w:rsidP="00E55D21">
              <w:pPr>
                <w:pStyle w:val="Bibliography"/>
                <w:ind w:left="720" w:hanging="720"/>
                <w:jc w:val="both"/>
                <w:rPr>
                  <w:noProof/>
                </w:rPr>
              </w:pPr>
              <w:r w:rsidRPr="00895EFC">
                <w:rPr>
                  <w:noProof/>
                </w:rPr>
                <w:t xml:space="preserve">Syafrina, A., &amp; Alfarisi, M. (2021). Penggunaan Media Sosial Facebook Sebagai Sarana Komunikasi Dan Informasi Di Kalangan Remaja (Studi Deskriptif Pada Remaja di Alamanda Regency Blok M.5 Rt 005/027). </w:t>
              </w:r>
              <w:r w:rsidRPr="00895EFC">
                <w:rPr>
                  <w:i/>
                  <w:iCs/>
                  <w:noProof/>
                </w:rPr>
                <w:t>Komunikasi, Masyarakat, dan Keamanan</w:t>
              </w:r>
              <w:r w:rsidRPr="00895EFC">
                <w:rPr>
                  <w:noProof/>
                </w:rPr>
                <w:t>, 17-28.</w:t>
              </w:r>
            </w:p>
            <w:p w14:paraId="7900899D" w14:textId="77777777" w:rsidR="005624F3" w:rsidRPr="00895EFC" w:rsidRDefault="005624F3" w:rsidP="00E55D21">
              <w:pPr>
                <w:pStyle w:val="Bibliography"/>
                <w:ind w:left="720" w:hanging="720"/>
                <w:jc w:val="both"/>
                <w:rPr>
                  <w:noProof/>
                </w:rPr>
              </w:pPr>
              <w:r w:rsidRPr="00895EFC">
                <w:rPr>
                  <w:noProof/>
                </w:rPr>
                <w:lastRenderedPageBreak/>
                <w:t xml:space="preserve">Wahyudin, U. (2017). Strategi Komunikasi Lingkungan Dalam Membangun Kepedulian Masyarakat Terhadap Lingkungan. </w:t>
              </w:r>
              <w:r w:rsidRPr="00895EFC">
                <w:rPr>
                  <w:i/>
                  <w:iCs/>
                  <w:noProof/>
                </w:rPr>
                <w:t>Jurnal Common, 1</w:t>
              </w:r>
              <w:r w:rsidRPr="00895EFC">
                <w:rPr>
                  <w:noProof/>
                </w:rPr>
                <w:t>(2), 130-134.</w:t>
              </w:r>
            </w:p>
            <w:p w14:paraId="69BAE6E2" w14:textId="77777777" w:rsidR="00767575" w:rsidRPr="00895EFC" w:rsidRDefault="00767575" w:rsidP="00E55D21">
              <w:pPr>
                <w:ind w:left="567" w:hanging="567"/>
                <w:jc w:val="both"/>
                <w:rPr>
                  <w:color w:val="000000" w:themeColor="text1"/>
                </w:rPr>
              </w:pPr>
              <w:r w:rsidRPr="00895EFC">
                <w:rPr>
                  <w:color w:val="000000" w:themeColor="text1"/>
                </w:rPr>
                <w:t>Yonatan, Agnes Z. 2023. https://data.goodstats.id/statistic/agneszefanyayonatan/menilik-pengguna-media-sosial-indonesia-2017-2026-xUAlp diakses 14 Juli 2023</w:t>
              </w:r>
            </w:p>
            <w:p w14:paraId="3E36B8F4" w14:textId="77777777" w:rsidR="00767575" w:rsidRPr="00895EFC" w:rsidRDefault="00767575" w:rsidP="00E55D21"/>
            <w:p w14:paraId="1A3E1362" w14:textId="2B27F831" w:rsidR="00340BC1" w:rsidRPr="00895EFC" w:rsidRDefault="005624F3" w:rsidP="009571DE">
              <w:pPr>
                <w:sectPr w:rsidR="00340BC1" w:rsidRPr="00895EFC" w:rsidSect="00987DC8">
                  <w:headerReference w:type="default" r:id="rId10"/>
                  <w:footerReference w:type="default" r:id="rId11"/>
                  <w:headerReference w:type="first" r:id="rId12"/>
                  <w:footerReference w:type="first" r:id="rId13"/>
                  <w:pgSz w:w="11910" w:h="16840"/>
                  <w:pgMar w:top="1440" w:right="1440" w:bottom="1440" w:left="1440" w:header="0" w:footer="1103" w:gutter="0"/>
                  <w:pgNumType w:start="92"/>
                  <w:cols w:space="720"/>
                  <w:titlePg/>
                  <w:docGrid w:linePitch="299"/>
                </w:sectPr>
              </w:pPr>
              <w:r w:rsidRPr="00895EFC">
                <w:rPr>
                  <w:b/>
                  <w:bCs/>
                  <w:noProof/>
                </w:rPr>
                <w:fldChar w:fldCharType="end"/>
              </w:r>
            </w:p>
          </w:sdtContent>
        </w:sdt>
      </w:sdtContent>
    </w:sdt>
    <w:p w14:paraId="318E6883" w14:textId="77777777" w:rsidR="001E7349" w:rsidRPr="00895EFC" w:rsidRDefault="001E7349" w:rsidP="001254F1">
      <w:pPr>
        <w:pStyle w:val="BodyText"/>
        <w:spacing w:after="120" w:line="360" w:lineRule="auto"/>
        <w:ind w:left="0"/>
        <w:rPr>
          <w:b/>
        </w:rPr>
      </w:pPr>
    </w:p>
    <w:sectPr w:rsidR="001E7349" w:rsidRPr="00895EFC" w:rsidSect="002B5212">
      <w:headerReference w:type="default" r:id="rId14"/>
      <w:pgSz w:w="11900" w:h="16840"/>
      <w:pgMar w:top="1700" w:right="1580" w:bottom="1140" w:left="1640" w:header="704" w:footer="9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C8EAD" w14:textId="77777777" w:rsidR="00FA7ED2" w:rsidRDefault="00FA7ED2" w:rsidP="00DE1D00">
      <w:r>
        <w:separator/>
      </w:r>
    </w:p>
  </w:endnote>
  <w:endnote w:type="continuationSeparator" w:id="0">
    <w:p w14:paraId="340C9167" w14:textId="77777777" w:rsidR="00FA7ED2" w:rsidRDefault="00FA7ED2" w:rsidP="00DE1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205928017"/>
      <w:docPartObj>
        <w:docPartGallery w:val="Page Numbers (Bottom of Page)"/>
        <w:docPartUnique/>
      </w:docPartObj>
    </w:sdtPr>
    <w:sdtEndPr>
      <w:rPr>
        <w:color w:val="7F7F7F" w:themeColor="background1" w:themeShade="7F"/>
        <w:spacing w:val="60"/>
      </w:rPr>
    </w:sdtEndPr>
    <w:sdtContent>
      <w:p w14:paraId="6E3F0490" w14:textId="7B6DB245" w:rsidR="00DB15DA" w:rsidRPr="00C17976" w:rsidRDefault="00DB15DA">
        <w:pPr>
          <w:pStyle w:val="Footer"/>
          <w:pBdr>
            <w:top w:val="single" w:sz="4" w:space="1" w:color="D9D9D9" w:themeColor="background1" w:themeShade="D9"/>
          </w:pBdr>
          <w:jc w:val="right"/>
          <w:rPr>
            <w:rFonts w:asciiTheme="minorHAnsi" w:hAnsiTheme="minorHAnsi" w:cstheme="minorHAnsi"/>
          </w:rPr>
        </w:pPr>
        <w:r w:rsidRPr="00C17976">
          <w:rPr>
            <w:rFonts w:asciiTheme="minorHAnsi" w:hAnsiTheme="minorHAnsi" w:cstheme="minorHAnsi"/>
          </w:rPr>
          <w:fldChar w:fldCharType="begin"/>
        </w:r>
        <w:r w:rsidRPr="00C17976">
          <w:rPr>
            <w:rFonts w:asciiTheme="minorHAnsi" w:hAnsiTheme="minorHAnsi" w:cstheme="minorHAnsi"/>
          </w:rPr>
          <w:instrText xml:space="preserve"> PAGE   \* MERGEFORMAT </w:instrText>
        </w:r>
        <w:r w:rsidRPr="00C17976">
          <w:rPr>
            <w:rFonts w:asciiTheme="minorHAnsi" w:hAnsiTheme="minorHAnsi" w:cstheme="minorHAnsi"/>
          </w:rPr>
          <w:fldChar w:fldCharType="separate"/>
        </w:r>
        <w:r w:rsidRPr="00C17976">
          <w:rPr>
            <w:rFonts w:asciiTheme="minorHAnsi" w:hAnsiTheme="minorHAnsi" w:cstheme="minorHAnsi"/>
            <w:noProof/>
          </w:rPr>
          <w:t>2</w:t>
        </w:r>
        <w:r w:rsidRPr="00C17976">
          <w:rPr>
            <w:rFonts w:asciiTheme="minorHAnsi" w:hAnsiTheme="minorHAnsi" w:cstheme="minorHAnsi"/>
            <w:noProof/>
          </w:rPr>
          <w:fldChar w:fldCharType="end"/>
        </w:r>
        <w:r w:rsidRPr="00C17976">
          <w:rPr>
            <w:rFonts w:asciiTheme="minorHAnsi" w:hAnsiTheme="minorHAnsi" w:cstheme="minorHAnsi"/>
          </w:rPr>
          <w:t xml:space="preserve"> | </w:t>
        </w:r>
        <w:r w:rsidRPr="00C17976">
          <w:rPr>
            <w:rFonts w:asciiTheme="minorHAnsi" w:hAnsiTheme="minorHAnsi" w:cstheme="minorHAnsi"/>
            <w:color w:val="7F7F7F" w:themeColor="background1" w:themeShade="7F"/>
            <w:spacing w:val="60"/>
          </w:rPr>
          <w:t>KOMASKAM</w:t>
        </w:r>
      </w:p>
    </w:sdtContent>
  </w:sdt>
  <w:p w14:paraId="2489CF71" w14:textId="77777777" w:rsidR="00DB15DA" w:rsidRDefault="00DB15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920356"/>
      <w:docPartObj>
        <w:docPartGallery w:val="Page Numbers (Bottom of Page)"/>
        <w:docPartUnique/>
      </w:docPartObj>
    </w:sdtPr>
    <w:sdtEndPr>
      <w:rPr>
        <w:color w:val="7F7F7F" w:themeColor="background1" w:themeShade="7F"/>
        <w:spacing w:val="60"/>
      </w:rPr>
    </w:sdtEndPr>
    <w:sdtContent>
      <w:p w14:paraId="4F8A41CB" w14:textId="77777777" w:rsidR="00DB15DA" w:rsidRDefault="00DB15DA" w:rsidP="00340BC1">
        <w:pPr>
          <w:pStyle w:val="Footer"/>
          <w:pBdr>
            <w:top w:val="single" w:sz="4" w:space="1" w:color="D9D9D9" w:themeColor="background1" w:themeShade="D9"/>
          </w:pBdr>
          <w:rPr>
            <w:color w:val="7F7F7F" w:themeColor="background1" w:themeShade="7F"/>
            <w:spacing w:val="60"/>
            <w:lang w:val="de-DE"/>
          </w:rPr>
        </w:pPr>
        <w:r>
          <w:fldChar w:fldCharType="begin"/>
        </w:r>
        <w:r w:rsidRPr="005F52B8">
          <w:rPr>
            <w:lang w:val="de-DE"/>
          </w:rPr>
          <w:instrText xml:space="preserve"> PAGE   \* MERGEFORMAT </w:instrText>
        </w:r>
        <w:r>
          <w:fldChar w:fldCharType="separate"/>
        </w:r>
        <w:r>
          <w:t>2</w:t>
        </w:r>
        <w:r>
          <w:rPr>
            <w:b/>
            <w:bCs/>
            <w:noProof/>
          </w:rPr>
          <w:fldChar w:fldCharType="end"/>
        </w:r>
        <w:r w:rsidRPr="005F52B8">
          <w:rPr>
            <w:b/>
            <w:bCs/>
            <w:lang w:val="de-DE"/>
          </w:rPr>
          <w:t xml:space="preserve"> | </w:t>
        </w:r>
        <w:r w:rsidRPr="005F52B8">
          <w:rPr>
            <w:color w:val="7F7F7F" w:themeColor="background1" w:themeShade="7F"/>
            <w:spacing w:val="60"/>
            <w:lang w:val="de-DE"/>
          </w:rPr>
          <w:t>JurnalKomunikasi,</w:t>
        </w:r>
        <w:r>
          <w:rPr>
            <w:color w:val="7F7F7F" w:themeColor="background1" w:themeShade="7F"/>
            <w:spacing w:val="60"/>
            <w:lang w:val="de-DE"/>
          </w:rPr>
          <w:t xml:space="preserve"> </w:t>
        </w:r>
        <w:r w:rsidRPr="005F52B8">
          <w:rPr>
            <w:color w:val="7F7F7F" w:themeColor="background1" w:themeShade="7F"/>
            <w:spacing w:val="60"/>
            <w:lang w:val="de-DE"/>
          </w:rPr>
          <w:t>MasyarakatdanKeamanan</w:t>
        </w:r>
      </w:p>
      <w:p w14:paraId="66F990E7" w14:textId="6CC2ADB8" w:rsidR="00DB15DA" w:rsidRPr="00340BC1" w:rsidRDefault="00DB15DA" w:rsidP="00340BC1">
        <w:pPr>
          <w:pStyle w:val="Footer"/>
          <w:pBdr>
            <w:top w:val="single" w:sz="4" w:space="1" w:color="D9D9D9" w:themeColor="background1" w:themeShade="D9"/>
          </w:pBdr>
          <w:ind w:left="284"/>
          <w:rPr>
            <w:b/>
            <w:bCs/>
            <w:lang w:val="de-DE"/>
          </w:rPr>
        </w:pPr>
        <w:r w:rsidRPr="005F52B8">
          <w:rPr>
            <w:color w:val="7F7F7F" w:themeColor="background1" w:themeShade="7F"/>
            <w:spacing w:val="60"/>
            <w:lang w:val="de-DE"/>
          </w:rPr>
          <w:t>(KOMASKAM</w:t>
        </w:r>
        <w:r>
          <w:rPr>
            <w:color w:val="7F7F7F" w:themeColor="background1" w:themeShade="7F"/>
            <w:spacing w:val="60"/>
            <w:lang w:val="de-DE"/>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04766" w14:textId="77777777" w:rsidR="00FA7ED2" w:rsidRDefault="00FA7ED2" w:rsidP="00DE1D00">
      <w:r>
        <w:separator/>
      </w:r>
    </w:p>
  </w:footnote>
  <w:footnote w:type="continuationSeparator" w:id="0">
    <w:p w14:paraId="021A611D" w14:textId="77777777" w:rsidR="00FA7ED2" w:rsidRDefault="00FA7ED2" w:rsidP="00DE1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8DBE" w14:textId="3E90B32F" w:rsidR="00DB15DA" w:rsidRDefault="00DB15DA">
    <w:pPr>
      <w:pStyle w:val="Header"/>
    </w:pPr>
  </w:p>
  <w:p w14:paraId="5CE42340" w14:textId="77777777" w:rsidR="00DB15DA" w:rsidRDefault="00DB15DA">
    <w:pPr>
      <w:pStyle w:val="Header"/>
    </w:pPr>
  </w:p>
  <w:p w14:paraId="532B9735" w14:textId="324EA2C2" w:rsidR="00DB15DA" w:rsidRPr="00F32860" w:rsidRDefault="00987DC8">
    <w:pPr>
      <w:pStyle w:val="Header"/>
      <w:rPr>
        <w:rFonts w:asciiTheme="minorHAnsi" w:hAnsiTheme="minorHAnsi" w:cstheme="minorHAnsi"/>
        <w:i/>
        <w:iCs/>
        <w:sz w:val="22"/>
        <w:szCs w:val="22"/>
        <w:lang w:val="de-DE"/>
      </w:rPr>
    </w:pPr>
    <w:r w:rsidRPr="00987DC8">
      <w:rPr>
        <w:rFonts w:asciiTheme="minorHAnsi" w:hAnsiTheme="minorHAnsi" w:cstheme="minorHAnsi"/>
        <w:i/>
        <w:iCs/>
        <w:sz w:val="22"/>
        <w:szCs w:val="22"/>
        <w:lang w:val="de-DE"/>
      </w:rPr>
      <w:t>Media Political Communication</w:t>
    </w:r>
    <w:r>
      <w:rPr>
        <w:rFonts w:asciiTheme="minorHAnsi" w:hAnsiTheme="minorHAnsi" w:cstheme="minorHAnsi"/>
        <w:i/>
        <w:iCs/>
        <w:sz w:val="22"/>
        <w:szCs w:val="22"/>
        <w:lang w:val="de-DE"/>
      </w:rPr>
      <w:t xml:space="preserve"> </w:t>
    </w:r>
    <w:r w:rsidR="00DB15DA" w:rsidRPr="00F32860">
      <w:rPr>
        <w:rFonts w:asciiTheme="minorHAnsi" w:hAnsiTheme="minorHAnsi" w:cstheme="minorHAnsi"/>
        <w:i/>
        <w:iCs/>
        <w:sz w:val="22"/>
        <w:szCs w:val="22"/>
        <w:lang w:val="de-DE"/>
      </w:rPr>
      <w:t xml:space="preserve">… </w:t>
    </w:r>
    <w:r w:rsidRPr="00987DC8">
      <w:rPr>
        <w:rFonts w:asciiTheme="minorHAnsi" w:hAnsiTheme="minorHAnsi" w:cstheme="minorHAnsi"/>
        <w:i/>
        <w:iCs/>
        <w:sz w:val="22"/>
        <w:szCs w:val="22"/>
        <w:lang w:val="de-DE"/>
      </w:rPr>
      <w:t>Afina Ruqayyah</w:t>
    </w:r>
  </w:p>
  <w:p w14:paraId="3421675C" w14:textId="77777777" w:rsidR="00DB15DA" w:rsidRPr="00F32860" w:rsidRDefault="00DB15DA">
    <w:pPr>
      <w:pStyle w:val="Header"/>
      <w:rPr>
        <w:rFonts w:asciiTheme="minorHAnsi" w:hAnsiTheme="minorHAnsi" w:cstheme="minorHAnsi"/>
        <w:i/>
        <w:iCs/>
        <w:sz w:val="22"/>
        <w:szCs w:val="22"/>
        <w:lang w:val="de-DE"/>
      </w:rPr>
    </w:pPr>
  </w:p>
  <w:p w14:paraId="58BF2C10" w14:textId="0E93B943" w:rsidR="00DB15DA" w:rsidRPr="00C17976" w:rsidRDefault="00DB15DA">
    <w:pPr>
      <w:pStyle w:val="Header"/>
      <w:rPr>
        <w:i/>
        <w:iCs/>
        <w:sz w:val="22"/>
        <w:szCs w:val="22"/>
      </w:rPr>
    </w:pPr>
    <w:proofErr w:type="spellStart"/>
    <w:r w:rsidRPr="00C17976">
      <w:rPr>
        <w:i/>
        <w:iCs/>
        <w:sz w:val="22"/>
        <w:szCs w:val="22"/>
      </w:rPr>
      <w:t>Diterima</w:t>
    </w:r>
    <w:proofErr w:type="spellEnd"/>
    <w:r w:rsidRPr="00C17976">
      <w:rPr>
        <w:i/>
        <w:iCs/>
        <w:sz w:val="22"/>
        <w:szCs w:val="22"/>
      </w:rPr>
      <w:t xml:space="preserve">: </w:t>
    </w:r>
    <w:r w:rsidR="00DD3766">
      <w:rPr>
        <w:i/>
        <w:iCs/>
        <w:sz w:val="22"/>
        <w:szCs w:val="22"/>
      </w:rPr>
      <w:t xml:space="preserve">20 April 2025, </w:t>
    </w:r>
    <w:proofErr w:type="spellStart"/>
    <w:r w:rsidR="00DD3766">
      <w:rPr>
        <w:i/>
        <w:iCs/>
        <w:sz w:val="22"/>
        <w:szCs w:val="22"/>
      </w:rPr>
      <w:t>Direvisi</w:t>
    </w:r>
    <w:proofErr w:type="spellEnd"/>
    <w:r w:rsidR="00DD3766">
      <w:rPr>
        <w:i/>
        <w:iCs/>
        <w:sz w:val="22"/>
        <w:szCs w:val="22"/>
      </w:rPr>
      <w:t xml:space="preserve">: 12 </w:t>
    </w:r>
    <w:proofErr w:type="spellStart"/>
    <w:r w:rsidR="00DD3766">
      <w:rPr>
        <w:i/>
        <w:iCs/>
        <w:sz w:val="22"/>
        <w:szCs w:val="22"/>
      </w:rPr>
      <w:t>Desember</w:t>
    </w:r>
    <w:proofErr w:type="spellEnd"/>
    <w:r w:rsidR="00DD3766">
      <w:rPr>
        <w:i/>
        <w:iCs/>
        <w:sz w:val="22"/>
        <w:szCs w:val="22"/>
      </w:rPr>
      <w:t xml:space="preserve"> 2025, </w:t>
    </w:r>
    <w:proofErr w:type="spellStart"/>
    <w:r w:rsidR="00DD3766">
      <w:rPr>
        <w:i/>
        <w:iCs/>
        <w:sz w:val="22"/>
        <w:szCs w:val="22"/>
      </w:rPr>
      <w:t>Diterbitkan</w:t>
    </w:r>
    <w:proofErr w:type="spellEnd"/>
    <w:r w:rsidR="00DD3766">
      <w:rPr>
        <w:i/>
        <w:iCs/>
        <w:sz w:val="22"/>
        <w:szCs w:val="22"/>
      </w:rPr>
      <w:t xml:space="preserve">: 16 </w:t>
    </w:r>
    <w:proofErr w:type="spellStart"/>
    <w:r w:rsidR="00DD3766">
      <w:rPr>
        <w:i/>
        <w:iCs/>
        <w:sz w:val="22"/>
        <w:szCs w:val="22"/>
      </w:rPr>
      <w:t>Desember</w:t>
    </w:r>
    <w:proofErr w:type="spellEnd"/>
    <w:r w:rsidR="00DD3766">
      <w:rPr>
        <w:i/>
        <w:iCs/>
        <w:sz w:val="22"/>
        <w:szCs w:val="22"/>
      </w:rPr>
      <w:t xml:space="preserve"> 2025</w:t>
    </w:r>
  </w:p>
  <w:p w14:paraId="30E49ED8" w14:textId="77777777" w:rsidR="00DB15DA" w:rsidRDefault="00DB15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C517" w14:textId="77777777" w:rsidR="00DB15DA" w:rsidRDefault="00DB15DA">
    <w:pPr>
      <w:pStyle w:val="Header"/>
    </w:pPr>
  </w:p>
  <w:p w14:paraId="08F8E19E" w14:textId="77777777" w:rsidR="00DB15DA" w:rsidRDefault="00DB15DA" w:rsidP="00DB15DA">
    <w:pPr>
      <w:pStyle w:val="Header"/>
    </w:pPr>
  </w:p>
  <w:p w14:paraId="4EF43135" w14:textId="77777777" w:rsidR="00DB15DA" w:rsidRDefault="00DB15DA" w:rsidP="00DB15DA">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6"/>
      <w:gridCol w:w="2491"/>
    </w:tblGrid>
    <w:tr w:rsidR="00DB15DA" w14:paraId="0AD1A54B" w14:textId="77777777" w:rsidTr="00DB15DA">
      <w:trPr>
        <w:trHeight w:val="290"/>
      </w:trPr>
      <w:tc>
        <w:tcPr>
          <w:tcW w:w="6506" w:type="dxa"/>
          <w:tcBorders>
            <w:bottom w:val="single" w:sz="18" w:space="0" w:color="595959" w:themeColor="text1" w:themeTint="A6"/>
            <w:right w:val="single" w:sz="18" w:space="0" w:color="595959" w:themeColor="text1" w:themeTint="A6"/>
          </w:tcBorders>
          <w:vAlign w:val="center"/>
        </w:tcPr>
        <w:p w14:paraId="09108AAF" w14:textId="24CD86D0" w:rsidR="00DB15DA" w:rsidRPr="00CF36B3" w:rsidRDefault="00DB15DA" w:rsidP="00DB15DA">
          <w:pPr>
            <w:pStyle w:val="Header"/>
            <w:rPr>
              <w:rFonts w:asciiTheme="minorHAnsi" w:hAnsiTheme="minorHAnsi" w:cstheme="minorHAnsi"/>
              <w:b/>
              <w:bCs/>
            </w:rPr>
          </w:pPr>
          <w:r w:rsidRPr="00CF36B3">
            <w:rPr>
              <w:rFonts w:asciiTheme="minorHAnsi" w:hAnsiTheme="minorHAnsi" w:cstheme="minorHAnsi"/>
              <w:b/>
              <w:bCs/>
            </w:rPr>
            <w:t>Vol.</w:t>
          </w:r>
          <w:r w:rsidR="000F69CC">
            <w:rPr>
              <w:rFonts w:asciiTheme="minorHAnsi" w:hAnsiTheme="minorHAnsi" w:cstheme="minorHAnsi"/>
              <w:b/>
              <w:bCs/>
            </w:rPr>
            <w:t xml:space="preserve"> 7 </w:t>
          </w:r>
          <w:r w:rsidRPr="00CF36B3">
            <w:rPr>
              <w:rFonts w:asciiTheme="minorHAnsi" w:hAnsiTheme="minorHAnsi" w:cstheme="minorHAnsi"/>
              <w:b/>
              <w:bCs/>
            </w:rPr>
            <w:t>No.</w:t>
          </w:r>
          <w:r w:rsidR="000F69CC">
            <w:rPr>
              <w:rFonts w:asciiTheme="minorHAnsi" w:hAnsiTheme="minorHAnsi" w:cstheme="minorHAnsi"/>
              <w:b/>
              <w:bCs/>
            </w:rPr>
            <w:t xml:space="preserve"> 2 </w:t>
          </w:r>
          <w:proofErr w:type="spellStart"/>
          <w:r w:rsidR="000F69CC">
            <w:rPr>
              <w:rFonts w:asciiTheme="minorHAnsi" w:hAnsiTheme="minorHAnsi" w:cstheme="minorHAnsi"/>
              <w:b/>
              <w:bCs/>
            </w:rPr>
            <w:t>Oktober</w:t>
          </w:r>
          <w:proofErr w:type="spellEnd"/>
          <w:r w:rsidR="000F69CC">
            <w:rPr>
              <w:rFonts w:asciiTheme="minorHAnsi" w:hAnsiTheme="minorHAnsi" w:cstheme="minorHAnsi"/>
              <w:b/>
              <w:bCs/>
            </w:rPr>
            <w:t xml:space="preserve"> </w:t>
          </w:r>
          <w:r w:rsidRPr="00CF36B3">
            <w:rPr>
              <w:rFonts w:asciiTheme="minorHAnsi" w:hAnsiTheme="minorHAnsi" w:cstheme="minorHAnsi"/>
              <w:b/>
              <w:bCs/>
            </w:rPr>
            <w:t>2025</w:t>
          </w:r>
        </w:p>
      </w:tc>
      <w:tc>
        <w:tcPr>
          <w:tcW w:w="2491" w:type="dxa"/>
          <w:tcBorders>
            <w:left w:val="single" w:sz="18" w:space="0" w:color="595959" w:themeColor="text1" w:themeTint="A6"/>
            <w:bottom w:val="single" w:sz="18" w:space="0" w:color="595959" w:themeColor="text1" w:themeTint="A6"/>
            <w:right w:val="single" w:sz="18" w:space="0" w:color="595959" w:themeColor="text1" w:themeTint="A6"/>
          </w:tcBorders>
          <w:vAlign w:val="center"/>
        </w:tcPr>
        <w:p w14:paraId="5AA5198A" w14:textId="77777777" w:rsidR="00DB15DA" w:rsidRPr="005F52B8" w:rsidRDefault="00DB15DA" w:rsidP="00DB15DA">
          <w:pPr>
            <w:pStyle w:val="Header"/>
            <w:rPr>
              <w:rFonts w:asciiTheme="minorHAnsi" w:hAnsiTheme="minorHAnsi" w:cstheme="minorHAnsi"/>
              <w:b/>
              <w:bCs/>
            </w:rPr>
          </w:pPr>
          <w:r w:rsidRPr="005F52B8">
            <w:rPr>
              <w:rFonts w:asciiTheme="minorHAnsi" w:hAnsiTheme="minorHAnsi" w:cstheme="minorHAnsi"/>
              <w:b/>
              <w:bCs/>
              <w:sz w:val="28"/>
              <w:szCs w:val="28"/>
            </w:rPr>
            <w:t>ISSN:</w:t>
          </w:r>
          <w:r w:rsidRPr="005F52B8">
            <w:rPr>
              <w:rFonts w:asciiTheme="minorHAnsi" w:hAnsiTheme="minorHAnsi" w:cstheme="minorHAnsi"/>
              <w:b/>
              <w:bCs/>
            </w:rPr>
            <w:t xml:space="preserve"> 2656-6125</w:t>
          </w:r>
        </w:p>
      </w:tc>
    </w:tr>
  </w:tbl>
  <w:p w14:paraId="27BEDFC7" w14:textId="77777777" w:rsidR="00DB15DA" w:rsidRDefault="00DB15DA" w:rsidP="00F249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65E9" w14:textId="3735AFCA" w:rsidR="001E7349" w:rsidRPr="002B5212" w:rsidRDefault="001E7349" w:rsidP="002B5212">
    <w:pPr>
      <w:pStyle w:val="Header"/>
      <w:rPr>
        <w:i/>
        <w:iCs/>
      </w:rPr>
    </w:pPr>
    <w:proofErr w:type="spellStart"/>
    <w:r>
      <w:rPr>
        <w:i/>
        <w:iCs/>
      </w:rPr>
      <w:t>Menerjemahkan</w:t>
    </w:r>
    <w:proofErr w:type="spellEnd"/>
    <w:r>
      <w:rPr>
        <w:i/>
        <w:iCs/>
      </w:rPr>
      <w:t xml:space="preserve"> </w:t>
    </w:r>
    <w:proofErr w:type="spellStart"/>
    <w:r>
      <w:rPr>
        <w:i/>
        <w:iCs/>
      </w:rPr>
      <w:t>Teror</w:t>
    </w:r>
    <w:proofErr w:type="spellEnd"/>
    <w:r>
      <w:rPr>
        <w:i/>
        <w:iCs/>
      </w:rPr>
      <w:t>,</w:t>
    </w:r>
    <w:r w:rsidRPr="002B5212">
      <w:rPr>
        <w:i/>
        <w:iCs/>
      </w:rPr>
      <w:t xml:space="preserve"> … </w:t>
    </w:r>
    <w:proofErr w:type="spellStart"/>
    <w:r>
      <w:rPr>
        <w:i/>
        <w:iCs/>
      </w:rPr>
      <w:t>Ratna</w:t>
    </w:r>
    <w:proofErr w:type="spellEnd"/>
    <w:r>
      <w:rPr>
        <w:i/>
        <w:iCs/>
      </w:rPr>
      <w:t xml:space="preserve"> </w:t>
    </w:r>
    <w:proofErr w:type="spellStart"/>
    <w:r>
      <w:rPr>
        <w:i/>
        <w:iCs/>
      </w:rPr>
      <w:t>Puspita</w:t>
    </w:r>
    <w:proofErr w:type="spellEnd"/>
    <w:r w:rsidRPr="002B5212">
      <w:rPr>
        <w:i/>
        <w:iCs/>
      </w:rPr>
      <w:t xml:space="preserve"> et al.</w:t>
    </w:r>
  </w:p>
  <w:p w14:paraId="4CCF81EC" w14:textId="77777777" w:rsidR="001E7349" w:rsidRPr="002B5212" w:rsidRDefault="001E7349" w:rsidP="002B5212">
    <w:pPr>
      <w:pStyle w:val="Header"/>
      <w:rPr>
        <w:i/>
        <w:iCs/>
      </w:rPr>
    </w:pPr>
  </w:p>
  <w:p w14:paraId="4FB81240" w14:textId="77777777" w:rsidR="001E7349" w:rsidRPr="002B5212" w:rsidRDefault="001E7349" w:rsidP="002B5212">
    <w:pPr>
      <w:pStyle w:val="Header"/>
      <w:rPr>
        <w:rFonts w:asciiTheme="minorHAnsi" w:hAnsiTheme="minorHAnsi" w:cstheme="minorHAnsi"/>
        <w:i/>
        <w:iCs/>
      </w:rPr>
    </w:pPr>
    <w:proofErr w:type="spellStart"/>
    <w:r w:rsidRPr="002B5212">
      <w:rPr>
        <w:rFonts w:asciiTheme="minorHAnsi" w:hAnsiTheme="minorHAnsi" w:cstheme="minorHAnsi"/>
        <w:i/>
        <w:iCs/>
      </w:rPr>
      <w:t>Diterima</w:t>
    </w:r>
    <w:proofErr w:type="spellEnd"/>
    <w:r w:rsidRPr="002B5212">
      <w:rPr>
        <w:rFonts w:asciiTheme="minorHAnsi" w:hAnsiTheme="minorHAnsi" w:cstheme="minorHAnsi"/>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9638E"/>
    <w:multiLevelType w:val="multilevel"/>
    <w:tmpl w:val="227A1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684EE6"/>
    <w:multiLevelType w:val="multilevel"/>
    <w:tmpl w:val="2A3C8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707393"/>
    <w:multiLevelType w:val="multilevel"/>
    <w:tmpl w:val="3CF8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47F71"/>
    <w:multiLevelType w:val="multilevel"/>
    <w:tmpl w:val="F242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5D3C9D"/>
    <w:multiLevelType w:val="hybridMultilevel"/>
    <w:tmpl w:val="05C259D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3BA55C0F"/>
    <w:multiLevelType w:val="multilevel"/>
    <w:tmpl w:val="3CF8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D0E19"/>
    <w:multiLevelType w:val="multilevel"/>
    <w:tmpl w:val="1D58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E53B78"/>
    <w:multiLevelType w:val="multilevel"/>
    <w:tmpl w:val="3676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977671"/>
    <w:multiLevelType w:val="multilevel"/>
    <w:tmpl w:val="3FD2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73502A"/>
    <w:multiLevelType w:val="multilevel"/>
    <w:tmpl w:val="3CCA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915333"/>
    <w:multiLevelType w:val="multilevel"/>
    <w:tmpl w:val="3F84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59168D"/>
    <w:multiLevelType w:val="hybridMultilevel"/>
    <w:tmpl w:val="201E7B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A1823E3"/>
    <w:multiLevelType w:val="multilevel"/>
    <w:tmpl w:val="0370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AB48E2"/>
    <w:multiLevelType w:val="multilevel"/>
    <w:tmpl w:val="BA1A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D138CF"/>
    <w:multiLevelType w:val="multilevel"/>
    <w:tmpl w:val="32F66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12"/>
  </w:num>
  <w:num w:numId="4">
    <w:abstractNumId w:val="14"/>
  </w:num>
  <w:num w:numId="5">
    <w:abstractNumId w:val="7"/>
  </w:num>
  <w:num w:numId="6">
    <w:abstractNumId w:val="13"/>
  </w:num>
  <w:num w:numId="7">
    <w:abstractNumId w:val="8"/>
  </w:num>
  <w:num w:numId="8">
    <w:abstractNumId w:val="2"/>
  </w:num>
  <w:num w:numId="9">
    <w:abstractNumId w:val="10"/>
  </w:num>
  <w:num w:numId="10">
    <w:abstractNumId w:val="6"/>
  </w:num>
  <w:num w:numId="11">
    <w:abstractNumId w:val="9"/>
  </w:num>
  <w:num w:numId="12">
    <w:abstractNumId w:val="3"/>
  </w:num>
  <w:num w:numId="13">
    <w:abstractNumId w:val="4"/>
  </w:num>
  <w:num w:numId="14">
    <w:abstractNumId w:val="5"/>
  </w:num>
  <w:num w:numId="1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B3C"/>
    <w:rsid w:val="00005C45"/>
    <w:rsid w:val="00006F03"/>
    <w:rsid w:val="00011455"/>
    <w:rsid w:val="00014E1D"/>
    <w:rsid w:val="000154A9"/>
    <w:rsid w:val="000223E3"/>
    <w:rsid w:val="0002537D"/>
    <w:rsid w:val="00036589"/>
    <w:rsid w:val="000369AD"/>
    <w:rsid w:val="00040E0E"/>
    <w:rsid w:val="00044AF4"/>
    <w:rsid w:val="00045F51"/>
    <w:rsid w:val="00047117"/>
    <w:rsid w:val="0005477C"/>
    <w:rsid w:val="000632AE"/>
    <w:rsid w:val="000656A3"/>
    <w:rsid w:val="00065E51"/>
    <w:rsid w:val="000706D4"/>
    <w:rsid w:val="00074655"/>
    <w:rsid w:val="00081A06"/>
    <w:rsid w:val="00091284"/>
    <w:rsid w:val="00095446"/>
    <w:rsid w:val="00095C76"/>
    <w:rsid w:val="000A040B"/>
    <w:rsid w:val="000A091A"/>
    <w:rsid w:val="000A1CA5"/>
    <w:rsid w:val="000A268D"/>
    <w:rsid w:val="000A367E"/>
    <w:rsid w:val="000A5169"/>
    <w:rsid w:val="000A741E"/>
    <w:rsid w:val="000B30C6"/>
    <w:rsid w:val="000C0220"/>
    <w:rsid w:val="000C09ED"/>
    <w:rsid w:val="000C1E57"/>
    <w:rsid w:val="000C2A3A"/>
    <w:rsid w:val="000D406F"/>
    <w:rsid w:val="000E2290"/>
    <w:rsid w:val="000E32E1"/>
    <w:rsid w:val="000E6688"/>
    <w:rsid w:val="000E6723"/>
    <w:rsid w:val="000F14A6"/>
    <w:rsid w:val="000F69CC"/>
    <w:rsid w:val="00103618"/>
    <w:rsid w:val="001036A4"/>
    <w:rsid w:val="00103BC9"/>
    <w:rsid w:val="00103BCA"/>
    <w:rsid w:val="0011232B"/>
    <w:rsid w:val="001141A7"/>
    <w:rsid w:val="00116A65"/>
    <w:rsid w:val="00124833"/>
    <w:rsid w:val="00124DE4"/>
    <w:rsid w:val="001254F1"/>
    <w:rsid w:val="00130358"/>
    <w:rsid w:val="00135E9E"/>
    <w:rsid w:val="00136CEE"/>
    <w:rsid w:val="001425E5"/>
    <w:rsid w:val="001433B3"/>
    <w:rsid w:val="00144970"/>
    <w:rsid w:val="00145DAE"/>
    <w:rsid w:val="00147B2A"/>
    <w:rsid w:val="001514B4"/>
    <w:rsid w:val="00155611"/>
    <w:rsid w:val="001654F4"/>
    <w:rsid w:val="00167FB0"/>
    <w:rsid w:val="001837D6"/>
    <w:rsid w:val="00183D89"/>
    <w:rsid w:val="001864D7"/>
    <w:rsid w:val="00193247"/>
    <w:rsid w:val="00194047"/>
    <w:rsid w:val="001A41C7"/>
    <w:rsid w:val="001A5D58"/>
    <w:rsid w:val="001B4F64"/>
    <w:rsid w:val="001B650F"/>
    <w:rsid w:val="001C1209"/>
    <w:rsid w:val="001C501D"/>
    <w:rsid w:val="001C5F13"/>
    <w:rsid w:val="001C7538"/>
    <w:rsid w:val="001D0B3C"/>
    <w:rsid w:val="001E03D9"/>
    <w:rsid w:val="001E34A6"/>
    <w:rsid w:val="001E7349"/>
    <w:rsid w:val="001F1129"/>
    <w:rsid w:val="001F1A48"/>
    <w:rsid w:val="001F44D1"/>
    <w:rsid w:val="001F5A63"/>
    <w:rsid w:val="001F7EBE"/>
    <w:rsid w:val="00203663"/>
    <w:rsid w:val="00203941"/>
    <w:rsid w:val="00216818"/>
    <w:rsid w:val="00216925"/>
    <w:rsid w:val="00222BEF"/>
    <w:rsid w:val="002261C7"/>
    <w:rsid w:val="00242950"/>
    <w:rsid w:val="002519B8"/>
    <w:rsid w:val="00252870"/>
    <w:rsid w:val="0025480C"/>
    <w:rsid w:val="00255804"/>
    <w:rsid w:val="002606CE"/>
    <w:rsid w:val="00260A4B"/>
    <w:rsid w:val="00266A05"/>
    <w:rsid w:val="002712A1"/>
    <w:rsid w:val="00271F92"/>
    <w:rsid w:val="00272918"/>
    <w:rsid w:val="002732E8"/>
    <w:rsid w:val="002739E6"/>
    <w:rsid w:val="00274AF1"/>
    <w:rsid w:val="00276199"/>
    <w:rsid w:val="0028144A"/>
    <w:rsid w:val="00293163"/>
    <w:rsid w:val="00295FFC"/>
    <w:rsid w:val="00296CF0"/>
    <w:rsid w:val="002A0953"/>
    <w:rsid w:val="002A68C5"/>
    <w:rsid w:val="002B2D2C"/>
    <w:rsid w:val="002B5212"/>
    <w:rsid w:val="002B6E92"/>
    <w:rsid w:val="002C7984"/>
    <w:rsid w:val="002D0335"/>
    <w:rsid w:val="002D2090"/>
    <w:rsid w:val="002D415B"/>
    <w:rsid w:val="002D44F0"/>
    <w:rsid w:val="002D4A17"/>
    <w:rsid w:val="002E2E4F"/>
    <w:rsid w:val="002E2EC7"/>
    <w:rsid w:val="002E3A75"/>
    <w:rsid w:val="002E6FE6"/>
    <w:rsid w:val="002F2478"/>
    <w:rsid w:val="002F6675"/>
    <w:rsid w:val="00301F70"/>
    <w:rsid w:val="00304FB6"/>
    <w:rsid w:val="003057EE"/>
    <w:rsid w:val="00307C27"/>
    <w:rsid w:val="003113D5"/>
    <w:rsid w:val="00320188"/>
    <w:rsid w:val="003207F5"/>
    <w:rsid w:val="00322657"/>
    <w:rsid w:val="00322A4A"/>
    <w:rsid w:val="00324037"/>
    <w:rsid w:val="0033082D"/>
    <w:rsid w:val="003314E1"/>
    <w:rsid w:val="0033264F"/>
    <w:rsid w:val="00333AA0"/>
    <w:rsid w:val="003401D2"/>
    <w:rsid w:val="00340BC1"/>
    <w:rsid w:val="003432F9"/>
    <w:rsid w:val="003441A5"/>
    <w:rsid w:val="00344A20"/>
    <w:rsid w:val="003510B9"/>
    <w:rsid w:val="003575FC"/>
    <w:rsid w:val="00360003"/>
    <w:rsid w:val="00366DDA"/>
    <w:rsid w:val="003806CE"/>
    <w:rsid w:val="0038234A"/>
    <w:rsid w:val="00383290"/>
    <w:rsid w:val="0038694E"/>
    <w:rsid w:val="0038787F"/>
    <w:rsid w:val="0039297F"/>
    <w:rsid w:val="003940F9"/>
    <w:rsid w:val="0039534E"/>
    <w:rsid w:val="003956C9"/>
    <w:rsid w:val="00396C77"/>
    <w:rsid w:val="003B0DD7"/>
    <w:rsid w:val="003C3C29"/>
    <w:rsid w:val="003C4EE5"/>
    <w:rsid w:val="003C67A2"/>
    <w:rsid w:val="003D412E"/>
    <w:rsid w:val="003E030C"/>
    <w:rsid w:val="003E4A8E"/>
    <w:rsid w:val="003E6897"/>
    <w:rsid w:val="003F6483"/>
    <w:rsid w:val="003F70F9"/>
    <w:rsid w:val="00405758"/>
    <w:rsid w:val="00405C1F"/>
    <w:rsid w:val="00415644"/>
    <w:rsid w:val="004157C2"/>
    <w:rsid w:val="00420B04"/>
    <w:rsid w:val="00424B6D"/>
    <w:rsid w:val="0042607D"/>
    <w:rsid w:val="0043672C"/>
    <w:rsid w:val="00444E9F"/>
    <w:rsid w:val="00446C62"/>
    <w:rsid w:val="00447243"/>
    <w:rsid w:val="00447276"/>
    <w:rsid w:val="0045280D"/>
    <w:rsid w:val="004529B3"/>
    <w:rsid w:val="004579CB"/>
    <w:rsid w:val="004646EA"/>
    <w:rsid w:val="00465487"/>
    <w:rsid w:val="00472CCB"/>
    <w:rsid w:val="00480DC4"/>
    <w:rsid w:val="0048311C"/>
    <w:rsid w:val="004844BC"/>
    <w:rsid w:val="00491590"/>
    <w:rsid w:val="00497BFA"/>
    <w:rsid w:val="004B5B9F"/>
    <w:rsid w:val="004B6F83"/>
    <w:rsid w:val="004C1798"/>
    <w:rsid w:val="004C24A4"/>
    <w:rsid w:val="004C2684"/>
    <w:rsid w:val="004C5589"/>
    <w:rsid w:val="004E38D2"/>
    <w:rsid w:val="004E3D81"/>
    <w:rsid w:val="004E5CE7"/>
    <w:rsid w:val="004F0A86"/>
    <w:rsid w:val="004F22AC"/>
    <w:rsid w:val="004F74B8"/>
    <w:rsid w:val="00501CEB"/>
    <w:rsid w:val="00502414"/>
    <w:rsid w:val="00507A39"/>
    <w:rsid w:val="00507AE4"/>
    <w:rsid w:val="00511A35"/>
    <w:rsid w:val="00513D75"/>
    <w:rsid w:val="0051496A"/>
    <w:rsid w:val="0052085E"/>
    <w:rsid w:val="00527995"/>
    <w:rsid w:val="00540A40"/>
    <w:rsid w:val="0054200C"/>
    <w:rsid w:val="00545C6B"/>
    <w:rsid w:val="00555E22"/>
    <w:rsid w:val="005574A2"/>
    <w:rsid w:val="005624F3"/>
    <w:rsid w:val="0057576E"/>
    <w:rsid w:val="0057619D"/>
    <w:rsid w:val="00581D60"/>
    <w:rsid w:val="00586055"/>
    <w:rsid w:val="005902F4"/>
    <w:rsid w:val="005945A0"/>
    <w:rsid w:val="00597D97"/>
    <w:rsid w:val="005A1939"/>
    <w:rsid w:val="005A7A6F"/>
    <w:rsid w:val="005B1DD8"/>
    <w:rsid w:val="005B3440"/>
    <w:rsid w:val="005B4AEA"/>
    <w:rsid w:val="005C02F0"/>
    <w:rsid w:val="005C1306"/>
    <w:rsid w:val="005C51C1"/>
    <w:rsid w:val="005C7A98"/>
    <w:rsid w:val="005D3518"/>
    <w:rsid w:val="005E139C"/>
    <w:rsid w:val="005E6B6A"/>
    <w:rsid w:val="005F0D58"/>
    <w:rsid w:val="005F1EFF"/>
    <w:rsid w:val="005F52B8"/>
    <w:rsid w:val="005F5EF7"/>
    <w:rsid w:val="00603CD5"/>
    <w:rsid w:val="006110B8"/>
    <w:rsid w:val="00612136"/>
    <w:rsid w:val="00620621"/>
    <w:rsid w:val="00621CB1"/>
    <w:rsid w:val="006225CD"/>
    <w:rsid w:val="006246D4"/>
    <w:rsid w:val="006248E4"/>
    <w:rsid w:val="00627488"/>
    <w:rsid w:val="00634292"/>
    <w:rsid w:val="006375DC"/>
    <w:rsid w:val="00637C20"/>
    <w:rsid w:val="006434DB"/>
    <w:rsid w:val="006437AC"/>
    <w:rsid w:val="00646FE2"/>
    <w:rsid w:val="00651110"/>
    <w:rsid w:val="006528AD"/>
    <w:rsid w:val="00652B02"/>
    <w:rsid w:val="006613FD"/>
    <w:rsid w:val="00661675"/>
    <w:rsid w:val="00666B0A"/>
    <w:rsid w:val="00671843"/>
    <w:rsid w:val="00671881"/>
    <w:rsid w:val="0067305D"/>
    <w:rsid w:val="006732E3"/>
    <w:rsid w:val="006769CD"/>
    <w:rsid w:val="006818C7"/>
    <w:rsid w:val="00687CFA"/>
    <w:rsid w:val="0069165E"/>
    <w:rsid w:val="006A01B1"/>
    <w:rsid w:val="006A0AF1"/>
    <w:rsid w:val="006A3C32"/>
    <w:rsid w:val="006A5C9C"/>
    <w:rsid w:val="006B0DA2"/>
    <w:rsid w:val="006B6079"/>
    <w:rsid w:val="006B7E6E"/>
    <w:rsid w:val="006C4077"/>
    <w:rsid w:val="006C733A"/>
    <w:rsid w:val="006D1D89"/>
    <w:rsid w:val="006D2194"/>
    <w:rsid w:val="006D2C71"/>
    <w:rsid w:val="006D3D0E"/>
    <w:rsid w:val="006E7409"/>
    <w:rsid w:val="006F1062"/>
    <w:rsid w:val="006F387A"/>
    <w:rsid w:val="006F4C08"/>
    <w:rsid w:val="006F5C9B"/>
    <w:rsid w:val="00705496"/>
    <w:rsid w:val="00710273"/>
    <w:rsid w:val="00710286"/>
    <w:rsid w:val="00720983"/>
    <w:rsid w:val="00723ED1"/>
    <w:rsid w:val="00725F6C"/>
    <w:rsid w:val="0073132B"/>
    <w:rsid w:val="00731C83"/>
    <w:rsid w:val="007351FA"/>
    <w:rsid w:val="0074090B"/>
    <w:rsid w:val="0074638B"/>
    <w:rsid w:val="00746764"/>
    <w:rsid w:val="00746DBE"/>
    <w:rsid w:val="00752807"/>
    <w:rsid w:val="00752AC9"/>
    <w:rsid w:val="007536D2"/>
    <w:rsid w:val="0075605E"/>
    <w:rsid w:val="00756705"/>
    <w:rsid w:val="00761B76"/>
    <w:rsid w:val="007665A0"/>
    <w:rsid w:val="00767575"/>
    <w:rsid w:val="00783E8E"/>
    <w:rsid w:val="00785653"/>
    <w:rsid w:val="00792A21"/>
    <w:rsid w:val="00796D28"/>
    <w:rsid w:val="007A2087"/>
    <w:rsid w:val="007A70CC"/>
    <w:rsid w:val="007C1B54"/>
    <w:rsid w:val="007C2103"/>
    <w:rsid w:val="007C23CE"/>
    <w:rsid w:val="007C34FF"/>
    <w:rsid w:val="007C5580"/>
    <w:rsid w:val="007D1101"/>
    <w:rsid w:val="007D169D"/>
    <w:rsid w:val="007D3818"/>
    <w:rsid w:val="007D3A67"/>
    <w:rsid w:val="007E4B22"/>
    <w:rsid w:val="007F3AD4"/>
    <w:rsid w:val="007F7B92"/>
    <w:rsid w:val="007F7E30"/>
    <w:rsid w:val="007F7E3D"/>
    <w:rsid w:val="0080229A"/>
    <w:rsid w:val="00802583"/>
    <w:rsid w:val="008131EC"/>
    <w:rsid w:val="00813F94"/>
    <w:rsid w:val="00815B2D"/>
    <w:rsid w:val="00827CF6"/>
    <w:rsid w:val="00836FA3"/>
    <w:rsid w:val="0084159F"/>
    <w:rsid w:val="00841BF3"/>
    <w:rsid w:val="00845C97"/>
    <w:rsid w:val="0084748C"/>
    <w:rsid w:val="008514B8"/>
    <w:rsid w:val="00856380"/>
    <w:rsid w:val="008574F1"/>
    <w:rsid w:val="008606DA"/>
    <w:rsid w:val="00865B9C"/>
    <w:rsid w:val="00866573"/>
    <w:rsid w:val="00871425"/>
    <w:rsid w:val="0087447F"/>
    <w:rsid w:val="00875F07"/>
    <w:rsid w:val="00877777"/>
    <w:rsid w:val="008779F6"/>
    <w:rsid w:val="00881893"/>
    <w:rsid w:val="0088311B"/>
    <w:rsid w:val="00885744"/>
    <w:rsid w:val="00886C0F"/>
    <w:rsid w:val="0089088A"/>
    <w:rsid w:val="008909C8"/>
    <w:rsid w:val="00890BE2"/>
    <w:rsid w:val="00891F87"/>
    <w:rsid w:val="00895407"/>
    <w:rsid w:val="00895EFC"/>
    <w:rsid w:val="00896C18"/>
    <w:rsid w:val="008A0086"/>
    <w:rsid w:val="008A4439"/>
    <w:rsid w:val="008B4C77"/>
    <w:rsid w:val="008B7767"/>
    <w:rsid w:val="008C5CFD"/>
    <w:rsid w:val="008C60AF"/>
    <w:rsid w:val="008E4825"/>
    <w:rsid w:val="0090254B"/>
    <w:rsid w:val="00903E44"/>
    <w:rsid w:val="009071B1"/>
    <w:rsid w:val="0091197E"/>
    <w:rsid w:val="00913187"/>
    <w:rsid w:val="00913882"/>
    <w:rsid w:val="00915745"/>
    <w:rsid w:val="00915F0F"/>
    <w:rsid w:val="00920F6F"/>
    <w:rsid w:val="009321B1"/>
    <w:rsid w:val="00933E5A"/>
    <w:rsid w:val="00933FE5"/>
    <w:rsid w:val="009371D6"/>
    <w:rsid w:val="00937A47"/>
    <w:rsid w:val="00943D24"/>
    <w:rsid w:val="0094763C"/>
    <w:rsid w:val="00953CDF"/>
    <w:rsid w:val="00955388"/>
    <w:rsid w:val="00956E91"/>
    <w:rsid w:val="009571DE"/>
    <w:rsid w:val="00960127"/>
    <w:rsid w:val="00960FBB"/>
    <w:rsid w:val="009648F9"/>
    <w:rsid w:val="00967F0D"/>
    <w:rsid w:val="0097462C"/>
    <w:rsid w:val="00981D54"/>
    <w:rsid w:val="00987DC8"/>
    <w:rsid w:val="009910F8"/>
    <w:rsid w:val="009957CB"/>
    <w:rsid w:val="009957F2"/>
    <w:rsid w:val="00995C01"/>
    <w:rsid w:val="0099610A"/>
    <w:rsid w:val="0099726D"/>
    <w:rsid w:val="009974C3"/>
    <w:rsid w:val="009A4EA3"/>
    <w:rsid w:val="009B2A6E"/>
    <w:rsid w:val="009B31F5"/>
    <w:rsid w:val="009C2503"/>
    <w:rsid w:val="009D00CF"/>
    <w:rsid w:val="009D1A3F"/>
    <w:rsid w:val="009D57D4"/>
    <w:rsid w:val="009E15DB"/>
    <w:rsid w:val="009E23CB"/>
    <w:rsid w:val="009E4332"/>
    <w:rsid w:val="009E4F3E"/>
    <w:rsid w:val="009E7092"/>
    <w:rsid w:val="009F2B7A"/>
    <w:rsid w:val="009F31A0"/>
    <w:rsid w:val="009F372E"/>
    <w:rsid w:val="009F3CB3"/>
    <w:rsid w:val="009F6935"/>
    <w:rsid w:val="00A00FBC"/>
    <w:rsid w:val="00A036F3"/>
    <w:rsid w:val="00A10156"/>
    <w:rsid w:val="00A14009"/>
    <w:rsid w:val="00A1572C"/>
    <w:rsid w:val="00A1597D"/>
    <w:rsid w:val="00A17577"/>
    <w:rsid w:val="00A17D3F"/>
    <w:rsid w:val="00A20A18"/>
    <w:rsid w:val="00A2628B"/>
    <w:rsid w:val="00A3249A"/>
    <w:rsid w:val="00A36A17"/>
    <w:rsid w:val="00A5039D"/>
    <w:rsid w:val="00A5233B"/>
    <w:rsid w:val="00A525AA"/>
    <w:rsid w:val="00A5267E"/>
    <w:rsid w:val="00A54AD9"/>
    <w:rsid w:val="00A55706"/>
    <w:rsid w:val="00A6167C"/>
    <w:rsid w:val="00A63882"/>
    <w:rsid w:val="00A70A37"/>
    <w:rsid w:val="00A75AB0"/>
    <w:rsid w:val="00A82824"/>
    <w:rsid w:val="00A91BF5"/>
    <w:rsid w:val="00A92167"/>
    <w:rsid w:val="00A9312E"/>
    <w:rsid w:val="00A9351C"/>
    <w:rsid w:val="00A9528B"/>
    <w:rsid w:val="00A961CD"/>
    <w:rsid w:val="00AB1FC9"/>
    <w:rsid w:val="00AB6BFE"/>
    <w:rsid w:val="00AB71B5"/>
    <w:rsid w:val="00AC0C10"/>
    <w:rsid w:val="00AC115C"/>
    <w:rsid w:val="00AD1103"/>
    <w:rsid w:val="00AD1801"/>
    <w:rsid w:val="00AD25BA"/>
    <w:rsid w:val="00AD4509"/>
    <w:rsid w:val="00AE4436"/>
    <w:rsid w:val="00AF05D8"/>
    <w:rsid w:val="00AF73F3"/>
    <w:rsid w:val="00B000B5"/>
    <w:rsid w:val="00B006C8"/>
    <w:rsid w:val="00B0146C"/>
    <w:rsid w:val="00B014F1"/>
    <w:rsid w:val="00B06AC3"/>
    <w:rsid w:val="00B10A27"/>
    <w:rsid w:val="00B10B6C"/>
    <w:rsid w:val="00B1434D"/>
    <w:rsid w:val="00B20CFC"/>
    <w:rsid w:val="00B26087"/>
    <w:rsid w:val="00B36094"/>
    <w:rsid w:val="00B474B2"/>
    <w:rsid w:val="00B47995"/>
    <w:rsid w:val="00B6242A"/>
    <w:rsid w:val="00B62549"/>
    <w:rsid w:val="00B6470D"/>
    <w:rsid w:val="00B64900"/>
    <w:rsid w:val="00B64996"/>
    <w:rsid w:val="00B6553E"/>
    <w:rsid w:val="00B72903"/>
    <w:rsid w:val="00B7306C"/>
    <w:rsid w:val="00B83929"/>
    <w:rsid w:val="00B84801"/>
    <w:rsid w:val="00B84DF6"/>
    <w:rsid w:val="00B92C31"/>
    <w:rsid w:val="00BA3DBB"/>
    <w:rsid w:val="00BA6026"/>
    <w:rsid w:val="00BB08CB"/>
    <w:rsid w:val="00BB0CB6"/>
    <w:rsid w:val="00BB11A6"/>
    <w:rsid w:val="00BB1790"/>
    <w:rsid w:val="00BC24CA"/>
    <w:rsid w:val="00BC2CC1"/>
    <w:rsid w:val="00BC700A"/>
    <w:rsid w:val="00BD3713"/>
    <w:rsid w:val="00BD3D7B"/>
    <w:rsid w:val="00BE7357"/>
    <w:rsid w:val="00BF27A8"/>
    <w:rsid w:val="00BF6963"/>
    <w:rsid w:val="00C00703"/>
    <w:rsid w:val="00C073CF"/>
    <w:rsid w:val="00C114ED"/>
    <w:rsid w:val="00C12A81"/>
    <w:rsid w:val="00C138EA"/>
    <w:rsid w:val="00C17976"/>
    <w:rsid w:val="00C20A66"/>
    <w:rsid w:val="00C22679"/>
    <w:rsid w:val="00C279AC"/>
    <w:rsid w:val="00C31844"/>
    <w:rsid w:val="00C32878"/>
    <w:rsid w:val="00C40571"/>
    <w:rsid w:val="00C42340"/>
    <w:rsid w:val="00C43C2F"/>
    <w:rsid w:val="00C45332"/>
    <w:rsid w:val="00C46E0C"/>
    <w:rsid w:val="00C5458B"/>
    <w:rsid w:val="00C569A7"/>
    <w:rsid w:val="00C63F74"/>
    <w:rsid w:val="00C64C70"/>
    <w:rsid w:val="00C65E33"/>
    <w:rsid w:val="00C74203"/>
    <w:rsid w:val="00C746EC"/>
    <w:rsid w:val="00C81A60"/>
    <w:rsid w:val="00C879A3"/>
    <w:rsid w:val="00C95739"/>
    <w:rsid w:val="00C96098"/>
    <w:rsid w:val="00CA2DD9"/>
    <w:rsid w:val="00CB6B7A"/>
    <w:rsid w:val="00CB6BFA"/>
    <w:rsid w:val="00CC0FE0"/>
    <w:rsid w:val="00CC5099"/>
    <w:rsid w:val="00CC5E53"/>
    <w:rsid w:val="00CC62E2"/>
    <w:rsid w:val="00CD262D"/>
    <w:rsid w:val="00CD3134"/>
    <w:rsid w:val="00CD4082"/>
    <w:rsid w:val="00CE1769"/>
    <w:rsid w:val="00CE39B5"/>
    <w:rsid w:val="00CE4ED7"/>
    <w:rsid w:val="00CE6430"/>
    <w:rsid w:val="00CF1CAA"/>
    <w:rsid w:val="00CF1F17"/>
    <w:rsid w:val="00CF2E5F"/>
    <w:rsid w:val="00CF36B3"/>
    <w:rsid w:val="00CF7EDF"/>
    <w:rsid w:val="00D02B51"/>
    <w:rsid w:val="00D07A24"/>
    <w:rsid w:val="00D10F22"/>
    <w:rsid w:val="00D15733"/>
    <w:rsid w:val="00D20466"/>
    <w:rsid w:val="00D21BD0"/>
    <w:rsid w:val="00D24ADC"/>
    <w:rsid w:val="00D26C29"/>
    <w:rsid w:val="00D274E1"/>
    <w:rsid w:val="00D2784A"/>
    <w:rsid w:val="00D3767E"/>
    <w:rsid w:val="00D40247"/>
    <w:rsid w:val="00D428AE"/>
    <w:rsid w:val="00D446D2"/>
    <w:rsid w:val="00D5788C"/>
    <w:rsid w:val="00D60B5F"/>
    <w:rsid w:val="00D64679"/>
    <w:rsid w:val="00D65F12"/>
    <w:rsid w:val="00D67F5A"/>
    <w:rsid w:val="00D71ABA"/>
    <w:rsid w:val="00D74924"/>
    <w:rsid w:val="00D75470"/>
    <w:rsid w:val="00D8077E"/>
    <w:rsid w:val="00D820B3"/>
    <w:rsid w:val="00D853A8"/>
    <w:rsid w:val="00D8720E"/>
    <w:rsid w:val="00D87259"/>
    <w:rsid w:val="00DA12BD"/>
    <w:rsid w:val="00DA1E16"/>
    <w:rsid w:val="00DA7B7F"/>
    <w:rsid w:val="00DB15DA"/>
    <w:rsid w:val="00DB3D88"/>
    <w:rsid w:val="00DB40B7"/>
    <w:rsid w:val="00DB5206"/>
    <w:rsid w:val="00DC0244"/>
    <w:rsid w:val="00DC2100"/>
    <w:rsid w:val="00DC779F"/>
    <w:rsid w:val="00DC7FFD"/>
    <w:rsid w:val="00DD3766"/>
    <w:rsid w:val="00DD3D0F"/>
    <w:rsid w:val="00DD4F5D"/>
    <w:rsid w:val="00DE155E"/>
    <w:rsid w:val="00DE1D00"/>
    <w:rsid w:val="00DE2909"/>
    <w:rsid w:val="00DE6125"/>
    <w:rsid w:val="00DF0708"/>
    <w:rsid w:val="00DF3189"/>
    <w:rsid w:val="00DF65B5"/>
    <w:rsid w:val="00DF67B6"/>
    <w:rsid w:val="00DF6E7B"/>
    <w:rsid w:val="00DF72F3"/>
    <w:rsid w:val="00E0067D"/>
    <w:rsid w:val="00E05DBA"/>
    <w:rsid w:val="00E11FD8"/>
    <w:rsid w:val="00E1218E"/>
    <w:rsid w:val="00E12254"/>
    <w:rsid w:val="00E15765"/>
    <w:rsid w:val="00E2669C"/>
    <w:rsid w:val="00E30FBD"/>
    <w:rsid w:val="00E317FF"/>
    <w:rsid w:val="00E36B1A"/>
    <w:rsid w:val="00E40B59"/>
    <w:rsid w:val="00E4247D"/>
    <w:rsid w:val="00E43F8A"/>
    <w:rsid w:val="00E44060"/>
    <w:rsid w:val="00E50AD0"/>
    <w:rsid w:val="00E50B60"/>
    <w:rsid w:val="00E55712"/>
    <w:rsid w:val="00E55CC8"/>
    <w:rsid w:val="00E55D21"/>
    <w:rsid w:val="00E57189"/>
    <w:rsid w:val="00E577A3"/>
    <w:rsid w:val="00E63DEA"/>
    <w:rsid w:val="00E675FB"/>
    <w:rsid w:val="00E75D0D"/>
    <w:rsid w:val="00E81F6C"/>
    <w:rsid w:val="00E8286D"/>
    <w:rsid w:val="00E828E0"/>
    <w:rsid w:val="00E84CDB"/>
    <w:rsid w:val="00E86531"/>
    <w:rsid w:val="00E86E91"/>
    <w:rsid w:val="00E8723E"/>
    <w:rsid w:val="00E91B56"/>
    <w:rsid w:val="00E936B1"/>
    <w:rsid w:val="00E93DF0"/>
    <w:rsid w:val="00EA05C4"/>
    <w:rsid w:val="00EA171E"/>
    <w:rsid w:val="00EA2748"/>
    <w:rsid w:val="00EA446F"/>
    <w:rsid w:val="00EB034A"/>
    <w:rsid w:val="00EB38DF"/>
    <w:rsid w:val="00EB4542"/>
    <w:rsid w:val="00EC3EAC"/>
    <w:rsid w:val="00EC6724"/>
    <w:rsid w:val="00EE3881"/>
    <w:rsid w:val="00EE61FD"/>
    <w:rsid w:val="00EF2CF4"/>
    <w:rsid w:val="00EF4C0D"/>
    <w:rsid w:val="00EF70F3"/>
    <w:rsid w:val="00F1222D"/>
    <w:rsid w:val="00F20180"/>
    <w:rsid w:val="00F249B1"/>
    <w:rsid w:val="00F250D2"/>
    <w:rsid w:val="00F3044E"/>
    <w:rsid w:val="00F31369"/>
    <w:rsid w:val="00F32139"/>
    <w:rsid w:val="00F32860"/>
    <w:rsid w:val="00F347E0"/>
    <w:rsid w:val="00F34E78"/>
    <w:rsid w:val="00F35118"/>
    <w:rsid w:val="00F357A8"/>
    <w:rsid w:val="00F53957"/>
    <w:rsid w:val="00F56CFA"/>
    <w:rsid w:val="00F65276"/>
    <w:rsid w:val="00F66102"/>
    <w:rsid w:val="00F6629C"/>
    <w:rsid w:val="00F727F4"/>
    <w:rsid w:val="00F73FA7"/>
    <w:rsid w:val="00F75EE4"/>
    <w:rsid w:val="00F7636D"/>
    <w:rsid w:val="00F809FD"/>
    <w:rsid w:val="00F8275F"/>
    <w:rsid w:val="00F8509F"/>
    <w:rsid w:val="00F8748B"/>
    <w:rsid w:val="00FA22AE"/>
    <w:rsid w:val="00FA53DC"/>
    <w:rsid w:val="00FA7ED2"/>
    <w:rsid w:val="00FB0E2E"/>
    <w:rsid w:val="00FB4E3B"/>
    <w:rsid w:val="00FC0A9E"/>
    <w:rsid w:val="00FC1AB0"/>
    <w:rsid w:val="00FC38D4"/>
    <w:rsid w:val="00FC3BC2"/>
    <w:rsid w:val="00FC44EF"/>
    <w:rsid w:val="00FC4A1D"/>
    <w:rsid w:val="00FC65B6"/>
    <w:rsid w:val="00FC69DC"/>
    <w:rsid w:val="00FC70A4"/>
    <w:rsid w:val="00FC74D2"/>
    <w:rsid w:val="00FD135E"/>
    <w:rsid w:val="00FD168E"/>
    <w:rsid w:val="00FD3728"/>
    <w:rsid w:val="00FD3C99"/>
    <w:rsid w:val="00FD5777"/>
    <w:rsid w:val="00FD6A16"/>
    <w:rsid w:val="00FE3D6D"/>
    <w:rsid w:val="00FF3F83"/>
    <w:rsid w:val="00FF5AF2"/>
    <w:rsid w:val="00FF7580"/>
    <w:rsid w:val="00FF786D"/>
    <w:rsid w:val="00FF7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B99C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62C"/>
    <w:rPr>
      <w:rFonts w:ascii="Times New Roman" w:hAnsi="Times New Roman" w:cs="Times New Roman"/>
    </w:rPr>
  </w:style>
  <w:style w:type="paragraph" w:styleId="Heading1">
    <w:name w:val="heading 1"/>
    <w:basedOn w:val="Normal"/>
    <w:next w:val="Normal"/>
    <w:link w:val="Heading1Char"/>
    <w:uiPriority w:val="9"/>
    <w:qFormat/>
    <w:rsid w:val="005624F3"/>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bidi="en-US"/>
    </w:rPr>
  </w:style>
  <w:style w:type="paragraph" w:styleId="Heading2">
    <w:name w:val="heading 2"/>
    <w:basedOn w:val="Normal"/>
    <w:next w:val="Normal"/>
    <w:link w:val="Heading2Char"/>
    <w:uiPriority w:val="9"/>
    <w:unhideWhenUsed/>
    <w:qFormat/>
    <w:rsid w:val="002712A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712A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6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2290"/>
    <w:pPr>
      <w:ind w:left="720"/>
      <w:contextualSpacing/>
    </w:pPr>
    <w:rPr>
      <w:rFonts w:asciiTheme="minorHAnsi" w:hAnsiTheme="minorHAnsi" w:cstheme="minorBidi"/>
    </w:rPr>
  </w:style>
  <w:style w:type="paragraph" w:styleId="NoSpacing">
    <w:name w:val="No Spacing"/>
    <w:uiPriority w:val="1"/>
    <w:qFormat/>
    <w:rsid w:val="00890BE2"/>
    <w:rPr>
      <w:sz w:val="22"/>
      <w:szCs w:val="22"/>
      <w:lang w:val="id-ID"/>
    </w:rPr>
  </w:style>
  <w:style w:type="paragraph" w:styleId="FootnoteText">
    <w:name w:val="footnote text"/>
    <w:basedOn w:val="Normal"/>
    <w:link w:val="FootnoteTextChar"/>
    <w:uiPriority w:val="99"/>
    <w:unhideWhenUsed/>
    <w:rsid w:val="00DE1D00"/>
  </w:style>
  <w:style w:type="character" w:customStyle="1" w:styleId="FootnoteTextChar">
    <w:name w:val="Footnote Text Char"/>
    <w:basedOn w:val="DefaultParagraphFont"/>
    <w:link w:val="FootnoteText"/>
    <w:uiPriority w:val="99"/>
    <w:rsid w:val="00DE1D00"/>
    <w:rPr>
      <w:rFonts w:ascii="Times New Roman" w:hAnsi="Times New Roman" w:cs="Times New Roman"/>
    </w:rPr>
  </w:style>
  <w:style w:type="character" w:styleId="FootnoteReference">
    <w:name w:val="footnote reference"/>
    <w:basedOn w:val="DefaultParagraphFont"/>
    <w:uiPriority w:val="99"/>
    <w:unhideWhenUsed/>
    <w:rsid w:val="00DE1D00"/>
    <w:rPr>
      <w:vertAlign w:val="superscript"/>
    </w:rPr>
  </w:style>
  <w:style w:type="character" w:styleId="Hyperlink">
    <w:name w:val="Hyperlink"/>
    <w:basedOn w:val="DefaultParagraphFont"/>
    <w:uiPriority w:val="99"/>
    <w:unhideWhenUsed/>
    <w:rsid w:val="00B6242A"/>
    <w:rPr>
      <w:color w:val="0000FF"/>
      <w:u w:val="single"/>
    </w:rPr>
  </w:style>
  <w:style w:type="character" w:styleId="Emphasis">
    <w:name w:val="Emphasis"/>
    <w:basedOn w:val="DefaultParagraphFont"/>
    <w:uiPriority w:val="20"/>
    <w:qFormat/>
    <w:rsid w:val="00B6242A"/>
    <w:rPr>
      <w:i/>
      <w:iCs/>
    </w:rPr>
  </w:style>
  <w:style w:type="paragraph" w:styleId="NormalWeb">
    <w:name w:val="Normal (Web)"/>
    <w:basedOn w:val="Normal"/>
    <w:uiPriority w:val="99"/>
    <w:unhideWhenUsed/>
    <w:rsid w:val="00B6242A"/>
    <w:pPr>
      <w:spacing w:before="100" w:beforeAutospacing="1" w:after="100" w:afterAutospacing="1"/>
    </w:pPr>
  </w:style>
  <w:style w:type="character" w:customStyle="1" w:styleId="Heading1Char">
    <w:name w:val="Heading 1 Char"/>
    <w:basedOn w:val="DefaultParagraphFont"/>
    <w:link w:val="Heading1"/>
    <w:uiPriority w:val="9"/>
    <w:rsid w:val="005624F3"/>
    <w:rPr>
      <w:rFonts w:asciiTheme="majorHAnsi" w:eastAsiaTheme="majorEastAsia" w:hAnsiTheme="majorHAnsi" w:cstheme="majorBidi"/>
      <w:b/>
      <w:bCs/>
      <w:color w:val="2E74B5" w:themeColor="accent1" w:themeShade="BF"/>
      <w:sz w:val="28"/>
      <w:szCs w:val="28"/>
      <w:lang w:bidi="en-US"/>
    </w:rPr>
  </w:style>
  <w:style w:type="paragraph" w:styleId="Bibliography">
    <w:name w:val="Bibliography"/>
    <w:basedOn w:val="Normal"/>
    <w:next w:val="Normal"/>
    <w:uiPriority w:val="37"/>
    <w:unhideWhenUsed/>
    <w:rsid w:val="005624F3"/>
  </w:style>
  <w:style w:type="character" w:styleId="CommentReference">
    <w:name w:val="annotation reference"/>
    <w:basedOn w:val="DefaultParagraphFont"/>
    <w:uiPriority w:val="99"/>
    <w:semiHidden/>
    <w:unhideWhenUsed/>
    <w:rsid w:val="00D5788C"/>
    <w:rPr>
      <w:sz w:val="16"/>
      <w:szCs w:val="16"/>
    </w:rPr>
  </w:style>
  <w:style w:type="paragraph" w:styleId="CommentText">
    <w:name w:val="annotation text"/>
    <w:basedOn w:val="Normal"/>
    <w:link w:val="CommentTextChar"/>
    <w:uiPriority w:val="99"/>
    <w:unhideWhenUsed/>
    <w:rsid w:val="00D5788C"/>
    <w:rPr>
      <w:sz w:val="20"/>
      <w:szCs w:val="20"/>
    </w:rPr>
  </w:style>
  <w:style w:type="character" w:customStyle="1" w:styleId="CommentTextChar">
    <w:name w:val="Comment Text Char"/>
    <w:basedOn w:val="DefaultParagraphFont"/>
    <w:link w:val="CommentText"/>
    <w:uiPriority w:val="99"/>
    <w:rsid w:val="00D5788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788C"/>
    <w:rPr>
      <w:b/>
      <w:bCs/>
    </w:rPr>
  </w:style>
  <w:style w:type="character" w:customStyle="1" w:styleId="CommentSubjectChar">
    <w:name w:val="Comment Subject Char"/>
    <w:basedOn w:val="CommentTextChar"/>
    <w:link w:val="CommentSubject"/>
    <w:uiPriority w:val="99"/>
    <w:semiHidden/>
    <w:rsid w:val="00D5788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578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88C"/>
    <w:rPr>
      <w:rFonts w:ascii="Segoe UI" w:hAnsi="Segoe UI" w:cs="Segoe UI"/>
      <w:sz w:val="18"/>
      <w:szCs w:val="18"/>
    </w:rPr>
  </w:style>
  <w:style w:type="paragraph" w:styleId="Header">
    <w:name w:val="header"/>
    <w:basedOn w:val="Normal"/>
    <w:link w:val="HeaderChar"/>
    <w:uiPriority w:val="99"/>
    <w:unhideWhenUsed/>
    <w:rsid w:val="005F52B8"/>
    <w:pPr>
      <w:tabs>
        <w:tab w:val="center" w:pos="4513"/>
        <w:tab w:val="right" w:pos="9026"/>
      </w:tabs>
    </w:pPr>
  </w:style>
  <w:style w:type="character" w:customStyle="1" w:styleId="HeaderChar">
    <w:name w:val="Header Char"/>
    <w:basedOn w:val="DefaultParagraphFont"/>
    <w:link w:val="Header"/>
    <w:uiPriority w:val="99"/>
    <w:rsid w:val="005F52B8"/>
    <w:rPr>
      <w:rFonts w:ascii="Times New Roman" w:hAnsi="Times New Roman" w:cs="Times New Roman"/>
    </w:rPr>
  </w:style>
  <w:style w:type="paragraph" w:styleId="Footer">
    <w:name w:val="footer"/>
    <w:basedOn w:val="Normal"/>
    <w:link w:val="FooterChar"/>
    <w:uiPriority w:val="99"/>
    <w:unhideWhenUsed/>
    <w:rsid w:val="005F52B8"/>
    <w:pPr>
      <w:tabs>
        <w:tab w:val="center" w:pos="4513"/>
        <w:tab w:val="right" w:pos="9026"/>
      </w:tabs>
    </w:pPr>
  </w:style>
  <w:style w:type="character" w:customStyle="1" w:styleId="FooterChar">
    <w:name w:val="Footer Char"/>
    <w:basedOn w:val="DefaultParagraphFont"/>
    <w:link w:val="Footer"/>
    <w:uiPriority w:val="99"/>
    <w:rsid w:val="005F52B8"/>
    <w:rPr>
      <w:rFonts w:ascii="Times New Roman" w:hAnsi="Times New Roman" w:cs="Times New Roman"/>
    </w:rPr>
  </w:style>
  <w:style w:type="character" w:styleId="UnresolvedMention">
    <w:name w:val="Unresolved Mention"/>
    <w:basedOn w:val="DefaultParagraphFont"/>
    <w:uiPriority w:val="99"/>
    <w:semiHidden/>
    <w:unhideWhenUsed/>
    <w:rsid w:val="005F52B8"/>
    <w:rPr>
      <w:color w:val="605E5C"/>
      <w:shd w:val="clear" w:color="auto" w:fill="E1DFDD"/>
    </w:rPr>
  </w:style>
  <w:style w:type="paragraph" w:styleId="BodyText">
    <w:name w:val="Body Text"/>
    <w:basedOn w:val="Normal"/>
    <w:link w:val="BodyTextChar"/>
    <w:uiPriority w:val="1"/>
    <w:qFormat/>
    <w:rsid w:val="00340BC1"/>
    <w:pPr>
      <w:widowControl w:val="0"/>
      <w:autoSpaceDE w:val="0"/>
      <w:autoSpaceDN w:val="0"/>
      <w:ind w:left="143"/>
      <w:jc w:val="both"/>
    </w:pPr>
    <w:rPr>
      <w:rFonts w:eastAsia="Times New Roman"/>
    </w:rPr>
  </w:style>
  <w:style w:type="character" w:customStyle="1" w:styleId="BodyTextChar">
    <w:name w:val="Body Text Char"/>
    <w:basedOn w:val="DefaultParagraphFont"/>
    <w:link w:val="BodyText"/>
    <w:uiPriority w:val="1"/>
    <w:rsid w:val="00340BC1"/>
    <w:rPr>
      <w:rFonts w:ascii="Times New Roman" w:eastAsia="Times New Roman" w:hAnsi="Times New Roman" w:cs="Times New Roman"/>
    </w:rPr>
  </w:style>
  <w:style w:type="character" w:styleId="Strong">
    <w:name w:val="Strong"/>
    <w:basedOn w:val="DefaultParagraphFont"/>
    <w:uiPriority w:val="22"/>
    <w:qFormat/>
    <w:rsid w:val="00340BC1"/>
    <w:rPr>
      <w:b/>
      <w:bCs/>
    </w:rPr>
  </w:style>
  <w:style w:type="paragraph" w:styleId="Title">
    <w:name w:val="Title"/>
    <w:basedOn w:val="Normal"/>
    <w:link w:val="TitleChar"/>
    <w:uiPriority w:val="10"/>
    <w:qFormat/>
    <w:rsid w:val="00F249B1"/>
    <w:pPr>
      <w:widowControl w:val="0"/>
      <w:autoSpaceDE w:val="0"/>
      <w:autoSpaceDN w:val="0"/>
      <w:spacing w:before="100"/>
      <w:ind w:left="741" w:right="236"/>
      <w:jc w:val="center"/>
    </w:pPr>
    <w:rPr>
      <w:rFonts w:ascii="Cambria" w:eastAsia="Cambria" w:hAnsi="Cambria" w:cs="Cambria"/>
      <w:b/>
      <w:bCs/>
      <w:sz w:val="26"/>
      <w:szCs w:val="26"/>
      <w:lang w:val="id"/>
    </w:rPr>
  </w:style>
  <w:style w:type="character" w:customStyle="1" w:styleId="TitleChar">
    <w:name w:val="Title Char"/>
    <w:basedOn w:val="DefaultParagraphFont"/>
    <w:link w:val="Title"/>
    <w:uiPriority w:val="10"/>
    <w:rsid w:val="00F249B1"/>
    <w:rPr>
      <w:rFonts w:ascii="Cambria" w:eastAsia="Cambria" w:hAnsi="Cambria" w:cs="Cambria"/>
      <w:b/>
      <w:bCs/>
      <w:sz w:val="26"/>
      <w:szCs w:val="26"/>
      <w:lang w:val="id"/>
    </w:rPr>
  </w:style>
  <w:style w:type="paragraph" w:customStyle="1" w:styleId="TableParagraph">
    <w:name w:val="Table Paragraph"/>
    <w:basedOn w:val="Normal"/>
    <w:uiPriority w:val="1"/>
    <w:qFormat/>
    <w:rsid w:val="00F249B1"/>
    <w:pPr>
      <w:widowControl w:val="0"/>
      <w:autoSpaceDE w:val="0"/>
      <w:autoSpaceDN w:val="0"/>
      <w:spacing w:before="17"/>
      <w:jc w:val="center"/>
    </w:pPr>
    <w:rPr>
      <w:rFonts w:ascii="Calibri" w:eastAsia="Calibri" w:hAnsi="Calibri" w:cs="Calibri"/>
      <w:sz w:val="22"/>
      <w:szCs w:val="22"/>
      <w:lang w:val="id"/>
    </w:rPr>
  </w:style>
  <w:style w:type="character" w:customStyle="1" w:styleId="UnresolvedMention1">
    <w:name w:val="Unresolved Mention1"/>
    <w:basedOn w:val="DefaultParagraphFont"/>
    <w:uiPriority w:val="99"/>
    <w:semiHidden/>
    <w:unhideWhenUsed/>
    <w:rsid w:val="00F249B1"/>
    <w:rPr>
      <w:color w:val="605E5C"/>
      <w:shd w:val="clear" w:color="auto" w:fill="E1DFDD"/>
    </w:rPr>
  </w:style>
  <w:style w:type="paragraph" w:customStyle="1" w:styleId="msonormal0">
    <w:name w:val="msonormal"/>
    <w:basedOn w:val="Normal"/>
    <w:rsid w:val="00F249B1"/>
    <w:pPr>
      <w:spacing w:before="100" w:beforeAutospacing="1" w:after="100" w:afterAutospacing="1"/>
    </w:pPr>
    <w:rPr>
      <w:rFonts w:eastAsia="Times New Roman"/>
      <w:lang w:val="en-ID" w:eastAsia="en-ID"/>
    </w:rPr>
  </w:style>
  <w:style w:type="character" w:customStyle="1" w:styleId="apple-tab-span">
    <w:name w:val="apple-tab-span"/>
    <w:basedOn w:val="DefaultParagraphFont"/>
    <w:rsid w:val="00F249B1"/>
  </w:style>
  <w:style w:type="paragraph" w:customStyle="1" w:styleId="BasicParagraph">
    <w:name w:val="[Basic Paragraph]"/>
    <w:basedOn w:val="Normal"/>
    <w:link w:val="BasicParagraphChar"/>
    <w:uiPriority w:val="99"/>
    <w:rsid w:val="00DB15DA"/>
    <w:pPr>
      <w:autoSpaceDE w:val="0"/>
      <w:autoSpaceDN w:val="0"/>
      <w:adjustRightInd w:val="0"/>
      <w:spacing w:line="288" w:lineRule="auto"/>
      <w:textAlignment w:val="center"/>
    </w:pPr>
    <w:rPr>
      <w:rFonts w:eastAsia="Calibri"/>
      <w:color w:val="000000"/>
    </w:rPr>
  </w:style>
  <w:style w:type="character" w:customStyle="1" w:styleId="BasicParagraphChar">
    <w:name w:val="[Basic Paragraph] Char"/>
    <w:basedOn w:val="DefaultParagraphFont"/>
    <w:link w:val="BasicParagraph"/>
    <w:uiPriority w:val="99"/>
    <w:rsid w:val="00DB15DA"/>
    <w:rPr>
      <w:rFonts w:ascii="Times New Roman" w:eastAsia="Calibri" w:hAnsi="Times New Roman" w:cs="Times New Roman"/>
      <w:color w:val="000000"/>
    </w:rPr>
  </w:style>
  <w:style w:type="character" w:customStyle="1" w:styleId="None">
    <w:name w:val="None"/>
    <w:rsid w:val="00DB15DA"/>
  </w:style>
  <w:style w:type="character" w:customStyle="1" w:styleId="Heading2Char">
    <w:name w:val="Heading 2 Char"/>
    <w:basedOn w:val="DefaultParagraphFont"/>
    <w:link w:val="Heading2"/>
    <w:uiPriority w:val="9"/>
    <w:rsid w:val="002712A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712A1"/>
    <w:rPr>
      <w:rFonts w:asciiTheme="majorHAnsi" w:eastAsiaTheme="majorEastAsia" w:hAnsiTheme="majorHAnsi" w:cstheme="majorBidi"/>
      <w:color w:val="1F4D78" w:themeColor="accent1" w:themeShade="7F"/>
    </w:rPr>
  </w:style>
  <w:style w:type="table" w:styleId="LightList-Accent1">
    <w:name w:val="Light List Accent 1"/>
    <w:basedOn w:val="TableNormal"/>
    <w:uiPriority w:val="61"/>
    <w:rsid w:val="001E7349"/>
    <w:rPr>
      <w:rFonts w:eastAsiaTheme="minorEastAsia"/>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PlainTable2">
    <w:name w:val="Plain Table 2"/>
    <w:basedOn w:val="TableNormal"/>
    <w:uiPriority w:val="42"/>
    <w:rsid w:val="00895EFC"/>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4539">
      <w:bodyDiv w:val="1"/>
      <w:marLeft w:val="0"/>
      <w:marRight w:val="0"/>
      <w:marTop w:val="0"/>
      <w:marBottom w:val="0"/>
      <w:divBdr>
        <w:top w:val="none" w:sz="0" w:space="0" w:color="auto"/>
        <w:left w:val="none" w:sz="0" w:space="0" w:color="auto"/>
        <w:bottom w:val="none" w:sz="0" w:space="0" w:color="auto"/>
        <w:right w:val="none" w:sz="0" w:space="0" w:color="auto"/>
      </w:divBdr>
    </w:div>
    <w:div w:id="79060821">
      <w:bodyDiv w:val="1"/>
      <w:marLeft w:val="0"/>
      <w:marRight w:val="0"/>
      <w:marTop w:val="0"/>
      <w:marBottom w:val="0"/>
      <w:divBdr>
        <w:top w:val="none" w:sz="0" w:space="0" w:color="auto"/>
        <w:left w:val="none" w:sz="0" w:space="0" w:color="auto"/>
        <w:bottom w:val="none" w:sz="0" w:space="0" w:color="auto"/>
        <w:right w:val="none" w:sz="0" w:space="0" w:color="auto"/>
      </w:divBdr>
    </w:div>
    <w:div w:id="88814433">
      <w:bodyDiv w:val="1"/>
      <w:marLeft w:val="0"/>
      <w:marRight w:val="0"/>
      <w:marTop w:val="0"/>
      <w:marBottom w:val="0"/>
      <w:divBdr>
        <w:top w:val="none" w:sz="0" w:space="0" w:color="auto"/>
        <w:left w:val="none" w:sz="0" w:space="0" w:color="auto"/>
        <w:bottom w:val="none" w:sz="0" w:space="0" w:color="auto"/>
        <w:right w:val="none" w:sz="0" w:space="0" w:color="auto"/>
      </w:divBdr>
    </w:div>
    <w:div w:id="108622191">
      <w:bodyDiv w:val="1"/>
      <w:marLeft w:val="0"/>
      <w:marRight w:val="0"/>
      <w:marTop w:val="0"/>
      <w:marBottom w:val="0"/>
      <w:divBdr>
        <w:top w:val="none" w:sz="0" w:space="0" w:color="auto"/>
        <w:left w:val="none" w:sz="0" w:space="0" w:color="auto"/>
        <w:bottom w:val="none" w:sz="0" w:space="0" w:color="auto"/>
        <w:right w:val="none" w:sz="0" w:space="0" w:color="auto"/>
      </w:divBdr>
    </w:div>
    <w:div w:id="146098984">
      <w:bodyDiv w:val="1"/>
      <w:marLeft w:val="0"/>
      <w:marRight w:val="0"/>
      <w:marTop w:val="0"/>
      <w:marBottom w:val="0"/>
      <w:divBdr>
        <w:top w:val="none" w:sz="0" w:space="0" w:color="auto"/>
        <w:left w:val="none" w:sz="0" w:space="0" w:color="auto"/>
        <w:bottom w:val="none" w:sz="0" w:space="0" w:color="auto"/>
        <w:right w:val="none" w:sz="0" w:space="0" w:color="auto"/>
      </w:divBdr>
      <w:divsChild>
        <w:div w:id="236791524">
          <w:marLeft w:val="547"/>
          <w:marRight w:val="0"/>
          <w:marTop w:val="86"/>
          <w:marBottom w:val="0"/>
          <w:divBdr>
            <w:top w:val="none" w:sz="0" w:space="0" w:color="auto"/>
            <w:left w:val="none" w:sz="0" w:space="0" w:color="auto"/>
            <w:bottom w:val="none" w:sz="0" w:space="0" w:color="auto"/>
            <w:right w:val="none" w:sz="0" w:space="0" w:color="auto"/>
          </w:divBdr>
        </w:div>
        <w:div w:id="2001275113">
          <w:marLeft w:val="547"/>
          <w:marRight w:val="0"/>
          <w:marTop w:val="86"/>
          <w:marBottom w:val="0"/>
          <w:divBdr>
            <w:top w:val="none" w:sz="0" w:space="0" w:color="auto"/>
            <w:left w:val="none" w:sz="0" w:space="0" w:color="auto"/>
            <w:bottom w:val="none" w:sz="0" w:space="0" w:color="auto"/>
            <w:right w:val="none" w:sz="0" w:space="0" w:color="auto"/>
          </w:divBdr>
        </w:div>
        <w:div w:id="867062636">
          <w:marLeft w:val="547"/>
          <w:marRight w:val="0"/>
          <w:marTop w:val="86"/>
          <w:marBottom w:val="0"/>
          <w:divBdr>
            <w:top w:val="none" w:sz="0" w:space="0" w:color="auto"/>
            <w:left w:val="none" w:sz="0" w:space="0" w:color="auto"/>
            <w:bottom w:val="none" w:sz="0" w:space="0" w:color="auto"/>
            <w:right w:val="none" w:sz="0" w:space="0" w:color="auto"/>
          </w:divBdr>
        </w:div>
        <w:div w:id="1342510632">
          <w:marLeft w:val="547"/>
          <w:marRight w:val="0"/>
          <w:marTop w:val="86"/>
          <w:marBottom w:val="0"/>
          <w:divBdr>
            <w:top w:val="none" w:sz="0" w:space="0" w:color="auto"/>
            <w:left w:val="none" w:sz="0" w:space="0" w:color="auto"/>
            <w:bottom w:val="none" w:sz="0" w:space="0" w:color="auto"/>
            <w:right w:val="none" w:sz="0" w:space="0" w:color="auto"/>
          </w:divBdr>
        </w:div>
      </w:divsChild>
    </w:div>
    <w:div w:id="173034055">
      <w:bodyDiv w:val="1"/>
      <w:marLeft w:val="0"/>
      <w:marRight w:val="0"/>
      <w:marTop w:val="0"/>
      <w:marBottom w:val="0"/>
      <w:divBdr>
        <w:top w:val="none" w:sz="0" w:space="0" w:color="auto"/>
        <w:left w:val="none" w:sz="0" w:space="0" w:color="auto"/>
        <w:bottom w:val="none" w:sz="0" w:space="0" w:color="auto"/>
        <w:right w:val="none" w:sz="0" w:space="0" w:color="auto"/>
      </w:divBdr>
    </w:div>
    <w:div w:id="191041685">
      <w:bodyDiv w:val="1"/>
      <w:marLeft w:val="0"/>
      <w:marRight w:val="0"/>
      <w:marTop w:val="0"/>
      <w:marBottom w:val="0"/>
      <w:divBdr>
        <w:top w:val="none" w:sz="0" w:space="0" w:color="auto"/>
        <w:left w:val="none" w:sz="0" w:space="0" w:color="auto"/>
        <w:bottom w:val="none" w:sz="0" w:space="0" w:color="auto"/>
        <w:right w:val="none" w:sz="0" w:space="0" w:color="auto"/>
      </w:divBdr>
    </w:div>
    <w:div w:id="210576519">
      <w:bodyDiv w:val="1"/>
      <w:marLeft w:val="0"/>
      <w:marRight w:val="0"/>
      <w:marTop w:val="0"/>
      <w:marBottom w:val="0"/>
      <w:divBdr>
        <w:top w:val="none" w:sz="0" w:space="0" w:color="auto"/>
        <w:left w:val="none" w:sz="0" w:space="0" w:color="auto"/>
        <w:bottom w:val="none" w:sz="0" w:space="0" w:color="auto"/>
        <w:right w:val="none" w:sz="0" w:space="0" w:color="auto"/>
      </w:divBdr>
    </w:div>
    <w:div w:id="264463534">
      <w:bodyDiv w:val="1"/>
      <w:marLeft w:val="0"/>
      <w:marRight w:val="0"/>
      <w:marTop w:val="0"/>
      <w:marBottom w:val="0"/>
      <w:divBdr>
        <w:top w:val="none" w:sz="0" w:space="0" w:color="auto"/>
        <w:left w:val="none" w:sz="0" w:space="0" w:color="auto"/>
        <w:bottom w:val="none" w:sz="0" w:space="0" w:color="auto"/>
        <w:right w:val="none" w:sz="0" w:space="0" w:color="auto"/>
      </w:divBdr>
    </w:div>
    <w:div w:id="297302238">
      <w:bodyDiv w:val="1"/>
      <w:marLeft w:val="0"/>
      <w:marRight w:val="0"/>
      <w:marTop w:val="0"/>
      <w:marBottom w:val="0"/>
      <w:divBdr>
        <w:top w:val="none" w:sz="0" w:space="0" w:color="auto"/>
        <w:left w:val="none" w:sz="0" w:space="0" w:color="auto"/>
        <w:bottom w:val="none" w:sz="0" w:space="0" w:color="auto"/>
        <w:right w:val="none" w:sz="0" w:space="0" w:color="auto"/>
      </w:divBdr>
    </w:div>
    <w:div w:id="427310689">
      <w:bodyDiv w:val="1"/>
      <w:marLeft w:val="0"/>
      <w:marRight w:val="0"/>
      <w:marTop w:val="0"/>
      <w:marBottom w:val="0"/>
      <w:divBdr>
        <w:top w:val="none" w:sz="0" w:space="0" w:color="auto"/>
        <w:left w:val="none" w:sz="0" w:space="0" w:color="auto"/>
        <w:bottom w:val="none" w:sz="0" w:space="0" w:color="auto"/>
        <w:right w:val="none" w:sz="0" w:space="0" w:color="auto"/>
      </w:divBdr>
    </w:div>
    <w:div w:id="452137815">
      <w:bodyDiv w:val="1"/>
      <w:marLeft w:val="0"/>
      <w:marRight w:val="0"/>
      <w:marTop w:val="0"/>
      <w:marBottom w:val="0"/>
      <w:divBdr>
        <w:top w:val="none" w:sz="0" w:space="0" w:color="auto"/>
        <w:left w:val="none" w:sz="0" w:space="0" w:color="auto"/>
        <w:bottom w:val="none" w:sz="0" w:space="0" w:color="auto"/>
        <w:right w:val="none" w:sz="0" w:space="0" w:color="auto"/>
      </w:divBdr>
    </w:div>
    <w:div w:id="558637830">
      <w:bodyDiv w:val="1"/>
      <w:marLeft w:val="0"/>
      <w:marRight w:val="0"/>
      <w:marTop w:val="0"/>
      <w:marBottom w:val="0"/>
      <w:divBdr>
        <w:top w:val="none" w:sz="0" w:space="0" w:color="auto"/>
        <w:left w:val="none" w:sz="0" w:space="0" w:color="auto"/>
        <w:bottom w:val="none" w:sz="0" w:space="0" w:color="auto"/>
        <w:right w:val="none" w:sz="0" w:space="0" w:color="auto"/>
      </w:divBdr>
    </w:div>
    <w:div w:id="560597123">
      <w:bodyDiv w:val="1"/>
      <w:marLeft w:val="0"/>
      <w:marRight w:val="0"/>
      <w:marTop w:val="0"/>
      <w:marBottom w:val="0"/>
      <w:divBdr>
        <w:top w:val="none" w:sz="0" w:space="0" w:color="auto"/>
        <w:left w:val="none" w:sz="0" w:space="0" w:color="auto"/>
        <w:bottom w:val="none" w:sz="0" w:space="0" w:color="auto"/>
        <w:right w:val="none" w:sz="0" w:space="0" w:color="auto"/>
      </w:divBdr>
    </w:div>
    <w:div w:id="583609952">
      <w:bodyDiv w:val="1"/>
      <w:marLeft w:val="0"/>
      <w:marRight w:val="0"/>
      <w:marTop w:val="0"/>
      <w:marBottom w:val="0"/>
      <w:divBdr>
        <w:top w:val="none" w:sz="0" w:space="0" w:color="auto"/>
        <w:left w:val="none" w:sz="0" w:space="0" w:color="auto"/>
        <w:bottom w:val="none" w:sz="0" w:space="0" w:color="auto"/>
        <w:right w:val="none" w:sz="0" w:space="0" w:color="auto"/>
      </w:divBdr>
    </w:div>
    <w:div w:id="593320594">
      <w:bodyDiv w:val="1"/>
      <w:marLeft w:val="0"/>
      <w:marRight w:val="0"/>
      <w:marTop w:val="0"/>
      <w:marBottom w:val="0"/>
      <w:divBdr>
        <w:top w:val="none" w:sz="0" w:space="0" w:color="auto"/>
        <w:left w:val="none" w:sz="0" w:space="0" w:color="auto"/>
        <w:bottom w:val="none" w:sz="0" w:space="0" w:color="auto"/>
        <w:right w:val="none" w:sz="0" w:space="0" w:color="auto"/>
      </w:divBdr>
    </w:div>
    <w:div w:id="644044461">
      <w:bodyDiv w:val="1"/>
      <w:marLeft w:val="0"/>
      <w:marRight w:val="0"/>
      <w:marTop w:val="0"/>
      <w:marBottom w:val="0"/>
      <w:divBdr>
        <w:top w:val="none" w:sz="0" w:space="0" w:color="auto"/>
        <w:left w:val="none" w:sz="0" w:space="0" w:color="auto"/>
        <w:bottom w:val="none" w:sz="0" w:space="0" w:color="auto"/>
        <w:right w:val="none" w:sz="0" w:space="0" w:color="auto"/>
      </w:divBdr>
    </w:div>
    <w:div w:id="661661851">
      <w:bodyDiv w:val="1"/>
      <w:marLeft w:val="0"/>
      <w:marRight w:val="0"/>
      <w:marTop w:val="0"/>
      <w:marBottom w:val="0"/>
      <w:divBdr>
        <w:top w:val="none" w:sz="0" w:space="0" w:color="auto"/>
        <w:left w:val="none" w:sz="0" w:space="0" w:color="auto"/>
        <w:bottom w:val="none" w:sz="0" w:space="0" w:color="auto"/>
        <w:right w:val="none" w:sz="0" w:space="0" w:color="auto"/>
      </w:divBdr>
    </w:div>
    <w:div w:id="674769584">
      <w:bodyDiv w:val="1"/>
      <w:marLeft w:val="0"/>
      <w:marRight w:val="0"/>
      <w:marTop w:val="0"/>
      <w:marBottom w:val="0"/>
      <w:divBdr>
        <w:top w:val="none" w:sz="0" w:space="0" w:color="auto"/>
        <w:left w:val="none" w:sz="0" w:space="0" w:color="auto"/>
        <w:bottom w:val="none" w:sz="0" w:space="0" w:color="auto"/>
        <w:right w:val="none" w:sz="0" w:space="0" w:color="auto"/>
      </w:divBdr>
    </w:div>
    <w:div w:id="683173292">
      <w:bodyDiv w:val="1"/>
      <w:marLeft w:val="0"/>
      <w:marRight w:val="0"/>
      <w:marTop w:val="0"/>
      <w:marBottom w:val="0"/>
      <w:divBdr>
        <w:top w:val="none" w:sz="0" w:space="0" w:color="auto"/>
        <w:left w:val="none" w:sz="0" w:space="0" w:color="auto"/>
        <w:bottom w:val="none" w:sz="0" w:space="0" w:color="auto"/>
        <w:right w:val="none" w:sz="0" w:space="0" w:color="auto"/>
      </w:divBdr>
    </w:div>
    <w:div w:id="752052074">
      <w:bodyDiv w:val="1"/>
      <w:marLeft w:val="0"/>
      <w:marRight w:val="0"/>
      <w:marTop w:val="0"/>
      <w:marBottom w:val="0"/>
      <w:divBdr>
        <w:top w:val="none" w:sz="0" w:space="0" w:color="auto"/>
        <w:left w:val="none" w:sz="0" w:space="0" w:color="auto"/>
        <w:bottom w:val="none" w:sz="0" w:space="0" w:color="auto"/>
        <w:right w:val="none" w:sz="0" w:space="0" w:color="auto"/>
      </w:divBdr>
    </w:div>
    <w:div w:id="775565434">
      <w:bodyDiv w:val="1"/>
      <w:marLeft w:val="0"/>
      <w:marRight w:val="0"/>
      <w:marTop w:val="0"/>
      <w:marBottom w:val="0"/>
      <w:divBdr>
        <w:top w:val="none" w:sz="0" w:space="0" w:color="auto"/>
        <w:left w:val="none" w:sz="0" w:space="0" w:color="auto"/>
        <w:bottom w:val="none" w:sz="0" w:space="0" w:color="auto"/>
        <w:right w:val="none" w:sz="0" w:space="0" w:color="auto"/>
      </w:divBdr>
    </w:div>
    <w:div w:id="828205990">
      <w:bodyDiv w:val="1"/>
      <w:marLeft w:val="0"/>
      <w:marRight w:val="0"/>
      <w:marTop w:val="0"/>
      <w:marBottom w:val="0"/>
      <w:divBdr>
        <w:top w:val="none" w:sz="0" w:space="0" w:color="auto"/>
        <w:left w:val="none" w:sz="0" w:space="0" w:color="auto"/>
        <w:bottom w:val="none" w:sz="0" w:space="0" w:color="auto"/>
        <w:right w:val="none" w:sz="0" w:space="0" w:color="auto"/>
      </w:divBdr>
    </w:div>
    <w:div w:id="842473041">
      <w:bodyDiv w:val="1"/>
      <w:marLeft w:val="0"/>
      <w:marRight w:val="0"/>
      <w:marTop w:val="0"/>
      <w:marBottom w:val="0"/>
      <w:divBdr>
        <w:top w:val="none" w:sz="0" w:space="0" w:color="auto"/>
        <w:left w:val="none" w:sz="0" w:space="0" w:color="auto"/>
        <w:bottom w:val="none" w:sz="0" w:space="0" w:color="auto"/>
        <w:right w:val="none" w:sz="0" w:space="0" w:color="auto"/>
      </w:divBdr>
      <w:divsChild>
        <w:div w:id="813375328">
          <w:marLeft w:val="806"/>
          <w:marRight w:val="0"/>
          <w:marTop w:val="77"/>
          <w:marBottom w:val="0"/>
          <w:divBdr>
            <w:top w:val="none" w:sz="0" w:space="0" w:color="auto"/>
            <w:left w:val="none" w:sz="0" w:space="0" w:color="auto"/>
            <w:bottom w:val="none" w:sz="0" w:space="0" w:color="auto"/>
            <w:right w:val="none" w:sz="0" w:space="0" w:color="auto"/>
          </w:divBdr>
        </w:div>
        <w:div w:id="15426815">
          <w:marLeft w:val="806"/>
          <w:marRight w:val="0"/>
          <w:marTop w:val="77"/>
          <w:marBottom w:val="0"/>
          <w:divBdr>
            <w:top w:val="none" w:sz="0" w:space="0" w:color="auto"/>
            <w:left w:val="none" w:sz="0" w:space="0" w:color="auto"/>
            <w:bottom w:val="none" w:sz="0" w:space="0" w:color="auto"/>
            <w:right w:val="none" w:sz="0" w:space="0" w:color="auto"/>
          </w:divBdr>
        </w:div>
        <w:div w:id="1526871096">
          <w:marLeft w:val="806"/>
          <w:marRight w:val="0"/>
          <w:marTop w:val="77"/>
          <w:marBottom w:val="0"/>
          <w:divBdr>
            <w:top w:val="none" w:sz="0" w:space="0" w:color="auto"/>
            <w:left w:val="none" w:sz="0" w:space="0" w:color="auto"/>
            <w:bottom w:val="none" w:sz="0" w:space="0" w:color="auto"/>
            <w:right w:val="none" w:sz="0" w:space="0" w:color="auto"/>
          </w:divBdr>
        </w:div>
        <w:div w:id="1622418769">
          <w:marLeft w:val="806"/>
          <w:marRight w:val="0"/>
          <w:marTop w:val="77"/>
          <w:marBottom w:val="0"/>
          <w:divBdr>
            <w:top w:val="none" w:sz="0" w:space="0" w:color="auto"/>
            <w:left w:val="none" w:sz="0" w:space="0" w:color="auto"/>
            <w:bottom w:val="none" w:sz="0" w:space="0" w:color="auto"/>
            <w:right w:val="none" w:sz="0" w:space="0" w:color="auto"/>
          </w:divBdr>
        </w:div>
      </w:divsChild>
    </w:div>
    <w:div w:id="846166833">
      <w:bodyDiv w:val="1"/>
      <w:marLeft w:val="0"/>
      <w:marRight w:val="0"/>
      <w:marTop w:val="0"/>
      <w:marBottom w:val="0"/>
      <w:divBdr>
        <w:top w:val="none" w:sz="0" w:space="0" w:color="auto"/>
        <w:left w:val="none" w:sz="0" w:space="0" w:color="auto"/>
        <w:bottom w:val="none" w:sz="0" w:space="0" w:color="auto"/>
        <w:right w:val="none" w:sz="0" w:space="0" w:color="auto"/>
      </w:divBdr>
    </w:div>
    <w:div w:id="851340742">
      <w:bodyDiv w:val="1"/>
      <w:marLeft w:val="0"/>
      <w:marRight w:val="0"/>
      <w:marTop w:val="0"/>
      <w:marBottom w:val="0"/>
      <w:divBdr>
        <w:top w:val="none" w:sz="0" w:space="0" w:color="auto"/>
        <w:left w:val="none" w:sz="0" w:space="0" w:color="auto"/>
        <w:bottom w:val="none" w:sz="0" w:space="0" w:color="auto"/>
        <w:right w:val="none" w:sz="0" w:space="0" w:color="auto"/>
      </w:divBdr>
    </w:div>
    <w:div w:id="916205689">
      <w:bodyDiv w:val="1"/>
      <w:marLeft w:val="0"/>
      <w:marRight w:val="0"/>
      <w:marTop w:val="0"/>
      <w:marBottom w:val="0"/>
      <w:divBdr>
        <w:top w:val="none" w:sz="0" w:space="0" w:color="auto"/>
        <w:left w:val="none" w:sz="0" w:space="0" w:color="auto"/>
        <w:bottom w:val="none" w:sz="0" w:space="0" w:color="auto"/>
        <w:right w:val="none" w:sz="0" w:space="0" w:color="auto"/>
      </w:divBdr>
    </w:div>
    <w:div w:id="922186366">
      <w:bodyDiv w:val="1"/>
      <w:marLeft w:val="0"/>
      <w:marRight w:val="0"/>
      <w:marTop w:val="0"/>
      <w:marBottom w:val="0"/>
      <w:divBdr>
        <w:top w:val="none" w:sz="0" w:space="0" w:color="auto"/>
        <w:left w:val="none" w:sz="0" w:space="0" w:color="auto"/>
        <w:bottom w:val="none" w:sz="0" w:space="0" w:color="auto"/>
        <w:right w:val="none" w:sz="0" w:space="0" w:color="auto"/>
      </w:divBdr>
    </w:div>
    <w:div w:id="947271632">
      <w:bodyDiv w:val="1"/>
      <w:marLeft w:val="0"/>
      <w:marRight w:val="0"/>
      <w:marTop w:val="0"/>
      <w:marBottom w:val="0"/>
      <w:divBdr>
        <w:top w:val="none" w:sz="0" w:space="0" w:color="auto"/>
        <w:left w:val="none" w:sz="0" w:space="0" w:color="auto"/>
        <w:bottom w:val="none" w:sz="0" w:space="0" w:color="auto"/>
        <w:right w:val="none" w:sz="0" w:space="0" w:color="auto"/>
      </w:divBdr>
    </w:div>
    <w:div w:id="964699519">
      <w:bodyDiv w:val="1"/>
      <w:marLeft w:val="0"/>
      <w:marRight w:val="0"/>
      <w:marTop w:val="0"/>
      <w:marBottom w:val="0"/>
      <w:divBdr>
        <w:top w:val="none" w:sz="0" w:space="0" w:color="auto"/>
        <w:left w:val="none" w:sz="0" w:space="0" w:color="auto"/>
        <w:bottom w:val="none" w:sz="0" w:space="0" w:color="auto"/>
        <w:right w:val="none" w:sz="0" w:space="0" w:color="auto"/>
      </w:divBdr>
    </w:div>
    <w:div w:id="1043554118">
      <w:bodyDiv w:val="1"/>
      <w:marLeft w:val="0"/>
      <w:marRight w:val="0"/>
      <w:marTop w:val="0"/>
      <w:marBottom w:val="0"/>
      <w:divBdr>
        <w:top w:val="none" w:sz="0" w:space="0" w:color="auto"/>
        <w:left w:val="none" w:sz="0" w:space="0" w:color="auto"/>
        <w:bottom w:val="none" w:sz="0" w:space="0" w:color="auto"/>
        <w:right w:val="none" w:sz="0" w:space="0" w:color="auto"/>
      </w:divBdr>
      <w:divsChild>
        <w:div w:id="2036298965">
          <w:marLeft w:val="806"/>
          <w:marRight w:val="0"/>
          <w:marTop w:val="77"/>
          <w:marBottom w:val="0"/>
          <w:divBdr>
            <w:top w:val="none" w:sz="0" w:space="0" w:color="auto"/>
            <w:left w:val="none" w:sz="0" w:space="0" w:color="auto"/>
            <w:bottom w:val="none" w:sz="0" w:space="0" w:color="auto"/>
            <w:right w:val="none" w:sz="0" w:space="0" w:color="auto"/>
          </w:divBdr>
        </w:div>
        <w:div w:id="1227686399">
          <w:marLeft w:val="806"/>
          <w:marRight w:val="0"/>
          <w:marTop w:val="77"/>
          <w:marBottom w:val="0"/>
          <w:divBdr>
            <w:top w:val="none" w:sz="0" w:space="0" w:color="auto"/>
            <w:left w:val="none" w:sz="0" w:space="0" w:color="auto"/>
            <w:bottom w:val="none" w:sz="0" w:space="0" w:color="auto"/>
            <w:right w:val="none" w:sz="0" w:space="0" w:color="auto"/>
          </w:divBdr>
        </w:div>
        <w:div w:id="1216357717">
          <w:marLeft w:val="806"/>
          <w:marRight w:val="0"/>
          <w:marTop w:val="77"/>
          <w:marBottom w:val="0"/>
          <w:divBdr>
            <w:top w:val="none" w:sz="0" w:space="0" w:color="auto"/>
            <w:left w:val="none" w:sz="0" w:space="0" w:color="auto"/>
            <w:bottom w:val="none" w:sz="0" w:space="0" w:color="auto"/>
            <w:right w:val="none" w:sz="0" w:space="0" w:color="auto"/>
          </w:divBdr>
        </w:div>
        <w:div w:id="867448620">
          <w:marLeft w:val="806"/>
          <w:marRight w:val="0"/>
          <w:marTop w:val="77"/>
          <w:marBottom w:val="0"/>
          <w:divBdr>
            <w:top w:val="none" w:sz="0" w:space="0" w:color="auto"/>
            <w:left w:val="none" w:sz="0" w:space="0" w:color="auto"/>
            <w:bottom w:val="none" w:sz="0" w:space="0" w:color="auto"/>
            <w:right w:val="none" w:sz="0" w:space="0" w:color="auto"/>
          </w:divBdr>
        </w:div>
      </w:divsChild>
    </w:div>
    <w:div w:id="1047341139">
      <w:bodyDiv w:val="1"/>
      <w:marLeft w:val="0"/>
      <w:marRight w:val="0"/>
      <w:marTop w:val="0"/>
      <w:marBottom w:val="0"/>
      <w:divBdr>
        <w:top w:val="none" w:sz="0" w:space="0" w:color="auto"/>
        <w:left w:val="none" w:sz="0" w:space="0" w:color="auto"/>
        <w:bottom w:val="none" w:sz="0" w:space="0" w:color="auto"/>
        <w:right w:val="none" w:sz="0" w:space="0" w:color="auto"/>
      </w:divBdr>
    </w:div>
    <w:div w:id="1051349626">
      <w:bodyDiv w:val="1"/>
      <w:marLeft w:val="0"/>
      <w:marRight w:val="0"/>
      <w:marTop w:val="0"/>
      <w:marBottom w:val="0"/>
      <w:divBdr>
        <w:top w:val="none" w:sz="0" w:space="0" w:color="auto"/>
        <w:left w:val="none" w:sz="0" w:space="0" w:color="auto"/>
        <w:bottom w:val="none" w:sz="0" w:space="0" w:color="auto"/>
        <w:right w:val="none" w:sz="0" w:space="0" w:color="auto"/>
      </w:divBdr>
    </w:div>
    <w:div w:id="1144353837">
      <w:bodyDiv w:val="1"/>
      <w:marLeft w:val="0"/>
      <w:marRight w:val="0"/>
      <w:marTop w:val="0"/>
      <w:marBottom w:val="0"/>
      <w:divBdr>
        <w:top w:val="none" w:sz="0" w:space="0" w:color="auto"/>
        <w:left w:val="none" w:sz="0" w:space="0" w:color="auto"/>
        <w:bottom w:val="none" w:sz="0" w:space="0" w:color="auto"/>
        <w:right w:val="none" w:sz="0" w:space="0" w:color="auto"/>
      </w:divBdr>
    </w:div>
    <w:div w:id="1159729026">
      <w:bodyDiv w:val="1"/>
      <w:marLeft w:val="0"/>
      <w:marRight w:val="0"/>
      <w:marTop w:val="0"/>
      <w:marBottom w:val="0"/>
      <w:divBdr>
        <w:top w:val="none" w:sz="0" w:space="0" w:color="auto"/>
        <w:left w:val="none" w:sz="0" w:space="0" w:color="auto"/>
        <w:bottom w:val="none" w:sz="0" w:space="0" w:color="auto"/>
        <w:right w:val="none" w:sz="0" w:space="0" w:color="auto"/>
      </w:divBdr>
    </w:div>
    <w:div w:id="1208177991">
      <w:bodyDiv w:val="1"/>
      <w:marLeft w:val="0"/>
      <w:marRight w:val="0"/>
      <w:marTop w:val="0"/>
      <w:marBottom w:val="0"/>
      <w:divBdr>
        <w:top w:val="none" w:sz="0" w:space="0" w:color="auto"/>
        <w:left w:val="none" w:sz="0" w:space="0" w:color="auto"/>
        <w:bottom w:val="none" w:sz="0" w:space="0" w:color="auto"/>
        <w:right w:val="none" w:sz="0" w:space="0" w:color="auto"/>
      </w:divBdr>
    </w:div>
    <w:div w:id="1213615408">
      <w:bodyDiv w:val="1"/>
      <w:marLeft w:val="0"/>
      <w:marRight w:val="0"/>
      <w:marTop w:val="0"/>
      <w:marBottom w:val="0"/>
      <w:divBdr>
        <w:top w:val="none" w:sz="0" w:space="0" w:color="auto"/>
        <w:left w:val="none" w:sz="0" w:space="0" w:color="auto"/>
        <w:bottom w:val="none" w:sz="0" w:space="0" w:color="auto"/>
        <w:right w:val="none" w:sz="0" w:space="0" w:color="auto"/>
      </w:divBdr>
    </w:div>
    <w:div w:id="1318878983">
      <w:bodyDiv w:val="1"/>
      <w:marLeft w:val="0"/>
      <w:marRight w:val="0"/>
      <w:marTop w:val="0"/>
      <w:marBottom w:val="0"/>
      <w:divBdr>
        <w:top w:val="none" w:sz="0" w:space="0" w:color="auto"/>
        <w:left w:val="none" w:sz="0" w:space="0" w:color="auto"/>
        <w:bottom w:val="none" w:sz="0" w:space="0" w:color="auto"/>
        <w:right w:val="none" w:sz="0" w:space="0" w:color="auto"/>
      </w:divBdr>
      <w:divsChild>
        <w:div w:id="655190024">
          <w:marLeft w:val="547"/>
          <w:marRight w:val="0"/>
          <w:marTop w:val="96"/>
          <w:marBottom w:val="0"/>
          <w:divBdr>
            <w:top w:val="none" w:sz="0" w:space="0" w:color="auto"/>
            <w:left w:val="none" w:sz="0" w:space="0" w:color="auto"/>
            <w:bottom w:val="none" w:sz="0" w:space="0" w:color="auto"/>
            <w:right w:val="none" w:sz="0" w:space="0" w:color="auto"/>
          </w:divBdr>
        </w:div>
        <w:div w:id="801849680">
          <w:marLeft w:val="547"/>
          <w:marRight w:val="0"/>
          <w:marTop w:val="96"/>
          <w:marBottom w:val="0"/>
          <w:divBdr>
            <w:top w:val="none" w:sz="0" w:space="0" w:color="auto"/>
            <w:left w:val="none" w:sz="0" w:space="0" w:color="auto"/>
            <w:bottom w:val="none" w:sz="0" w:space="0" w:color="auto"/>
            <w:right w:val="none" w:sz="0" w:space="0" w:color="auto"/>
          </w:divBdr>
        </w:div>
        <w:div w:id="1136531876">
          <w:marLeft w:val="547"/>
          <w:marRight w:val="0"/>
          <w:marTop w:val="96"/>
          <w:marBottom w:val="0"/>
          <w:divBdr>
            <w:top w:val="none" w:sz="0" w:space="0" w:color="auto"/>
            <w:left w:val="none" w:sz="0" w:space="0" w:color="auto"/>
            <w:bottom w:val="none" w:sz="0" w:space="0" w:color="auto"/>
            <w:right w:val="none" w:sz="0" w:space="0" w:color="auto"/>
          </w:divBdr>
        </w:div>
        <w:div w:id="279263421">
          <w:marLeft w:val="547"/>
          <w:marRight w:val="0"/>
          <w:marTop w:val="96"/>
          <w:marBottom w:val="0"/>
          <w:divBdr>
            <w:top w:val="none" w:sz="0" w:space="0" w:color="auto"/>
            <w:left w:val="none" w:sz="0" w:space="0" w:color="auto"/>
            <w:bottom w:val="none" w:sz="0" w:space="0" w:color="auto"/>
            <w:right w:val="none" w:sz="0" w:space="0" w:color="auto"/>
          </w:divBdr>
        </w:div>
      </w:divsChild>
    </w:div>
    <w:div w:id="1327828113">
      <w:bodyDiv w:val="1"/>
      <w:marLeft w:val="0"/>
      <w:marRight w:val="0"/>
      <w:marTop w:val="0"/>
      <w:marBottom w:val="0"/>
      <w:divBdr>
        <w:top w:val="none" w:sz="0" w:space="0" w:color="auto"/>
        <w:left w:val="none" w:sz="0" w:space="0" w:color="auto"/>
        <w:bottom w:val="none" w:sz="0" w:space="0" w:color="auto"/>
        <w:right w:val="none" w:sz="0" w:space="0" w:color="auto"/>
      </w:divBdr>
    </w:div>
    <w:div w:id="1354528341">
      <w:bodyDiv w:val="1"/>
      <w:marLeft w:val="0"/>
      <w:marRight w:val="0"/>
      <w:marTop w:val="0"/>
      <w:marBottom w:val="0"/>
      <w:divBdr>
        <w:top w:val="none" w:sz="0" w:space="0" w:color="auto"/>
        <w:left w:val="none" w:sz="0" w:space="0" w:color="auto"/>
        <w:bottom w:val="none" w:sz="0" w:space="0" w:color="auto"/>
        <w:right w:val="none" w:sz="0" w:space="0" w:color="auto"/>
      </w:divBdr>
    </w:div>
    <w:div w:id="1355615412">
      <w:bodyDiv w:val="1"/>
      <w:marLeft w:val="0"/>
      <w:marRight w:val="0"/>
      <w:marTop w:val="0"/>
      <w:marBottom w:val="0"/>
      <w:divBdr>
        <w:top w:val="none" w:sz="0" w:space="0" w:color="auto"/>
        <w:left w:val="none" w:sz="0" w:space="0" w:color="auto"/>
        <w:bottom w:val="none" w:sz="0" w:space="0" w:color="auto"/>
        <w:right w:val="none" w:sz="0" w:space="0" w:color="auto"/>
      </w:divBdr>
    </w:div>
    <w:div w:id="1363550952">
      <w:bodyDiv w:val="1"/>
      <w:marLeft w:val="0"/>
      <w:marRight w:val="0"/>
      <w:marTop w:val="0"/>
      <w:marBottom w:val="0"/>
      <w:divBdr>
        <w:top w:val="none" w:sz="0" w:space="0" w:color="auto"/>
        <w:left w:val="none" w:sz="0" w:space="0" w:color="auto"/>
        <w:bottom w:val="none" w:sz="0" w:space="0" w:color="auto"/>
        <w:right w:val="none" w:sz="0" w:space="0" w:color="auto"/>
      </w:divBdr>
    </w:div>
    <w:div w:id="1387025105">
      <w:bodyDiv w:val="1"/>
      <w:marLeft w:val="0"/>
      <w:marRight w:val="0"/>
      <w:marTop w:val="0"/>
      <w:marBottom w:val="0"/>
      <w:divBdr>
        <w:top w:val="none" w:sz="0" w:space="0" w:color="auto"/>
        <w:left w:val="none" w:sz="0" w:space="0" w:color="auto"/>
        <w:bottom w:val="none" w:sz="0" w:space="0" w:color="auto"/>
        <w:right w:val="none" w:sz="0" w:space="0" w:color="auto"/>
      </w:divBdr>
    </w:div>
    <w:div w:id="1397627128">
      <w:bodyDiv w:val="1"/>
      <w:marLeft w:val="0"/>
      <w:marRight w:val="0"/>
      <w:marTop w:val="0"/>
      <w:marBottom w:val="0"/>
      <w:divBdr>
        <w:top w:val="none" w:sz="0" w:space="0" w:color="auto"/>
        <w:left w:val="none" w:sz="0" w:space="0" w:color="auto"/>
        <w:bottom w:val="none" w:sz="0" w:space="0" w:color="auto"/>
        <w:right w:val="none" w:sz="0" w:space="0" w:color="auto"/>
      </w:divBdr>
    </w:div>
    <w:div w:id="1433696244">
      <w:bodyDiv w:val="1"/>
      <w:marLeft w:val="0"/>
      <w:marRight w:val="0"/>
      <w:marTop w:val="0"/>
      <w:marBottom w:val="0"/>
      <w:divBdr>
        <w:top w:val="none" w:sz="0" w:space="0" w:color="auto"/>
        <w:left w:val="none" w:sz="0" w:space="0" w:color="auto"/>
        <w:bottom w:val="none" w:sz="0" w:space="0" w:color="auto"/>
        <w:right w:val="none" w:sz="0" w:space="0" w:color="auto"/>
      </w:divBdr>
    </w:div>
    <w:div w:id="1548295045">
      <w:bodyDiv w:val="1"/>
      <w:marLeft w:val="0"/>
      <w:marRight w:val="0"/>
      <w:marTop w:val="0"/>
      <w:marBottom w:val="0"/>
      <w:divBdr>
        <w:top w:val="none" w:sz="0" w:space="0" w:color="auto"/>
        <w:left w:val="none" w:sz="0" w:space="0" w:color="auto"/>
        <w:bottom w:val="none" w:sz="0" w:space="0" w:color="auto"/>
        <w:right w:val="none" w:sz="0" w:space="0" w:color="auto"/>
      </w:divBdr>
    </w:div>
    <w:div w:id="1564366930">
      <w:bodyDiv w:val="1"/>
      <w:marLeft w:val="0"/>
      <w:marRight w:val="0"/>
      <w:marTop w:val="0"/>
      <w:marBottom w:val="0"/>
      <w:divBdr>
        <w:top w:val="none" w:sz="0" w:space="0" w:color="auto"/>
        <w:left w:val="none" w:sz="0" w:space="0" w:color="auto"/>
        <w:bottom w:val="none" w:sz="0" w:space="0" w:color="auto"/>
        <w:right w:val="none" w:sz="0" w:space="0" w:color="auto"/>
      </w:divBdr>
    </w:div>
    <w:div w:id="1572034741">
      <w:bodyDiv w:val="1"/>
      <w:marLeft w:val="0"/>
      <w:marRight w:val="0"/>
      <w:marTop w:val="0"/>
      <w:marBottom w:val="0"/>
      <w:divBdr>
        <w:top w:val="none" w:sz="0" w:space="0" w:color="auto"/>
        <w:left w:val="none" w:sz="0" w:space="0" w:color="auto"/>
        <w:bottom w:val="none" w:sz="0" w:space="0" w:color="auto"/>
        <w:right w:val="none" w:sz="0" w:space="0" w:color="auto"/>
      </w:divBdr>
    </w:div>
    <w:div w:id="1577126325">
      <w:bodyDiv w:val="1"/>
      <w:marLeft w:val="0"/>
      <w:marRight w:val="0"/>
      <w:marTop w:val="0"/>
      <w:marBottom w:val="0"/>
      <w:divBdr>
        <w:top w:val="none" w:sz="0" w:space="0" w:color="auto"/>
        <w:left w:val="none" w:sz="0" w:space="0" w:color="auto"/>
        <w:bottom w:val="none" w:sz="0" w:space="0" w:color="auto"/>
        <w:right w:val="none" w:sz="0" w:space="0" w:color="auto"/>
      </w:divBdr>
    </w:div>
    <w:div w:id="1593196254">
      <w:bodyDiv w:val="1"/>
      <w:marLeft w:val="0"/>
      <w:marRight w:val="0"/>
      <w:marTop w:val="0"/>
      <w:marBottom w:val="0"/>
      <w:divBdr>
        <w:top w:val="none" w:sz="0" w:space="0" w:color="auto"/>
        <w:left w:val="none" w:sz="0" w:space="0" w:color="auto"/>
        <w:bottom w:val="none" w:sz="0" w:space="0" w:color="auto"/>
        <w:right w:val="none" w:sz="0" w:space="0" w:color="auto"/>
      </w:divBdr>
    </w:div>
    <w:div w:id="1637293055">
      <w:bodyDiv w:val="1"/>
      <w:marLeft w:val="0"/>
      <w:marRight w:val="0"/>
      <w:marTop w:val="0"/>
      <w:marBottom w:val="0"/>
      <w:divBdr>
        <w:top w:val="none" w:sz="0" w:space="0" w:color="auto"/>
        <w:left w:val="none" w:sz="0" w:space="0" w:color="auto"/>
        <w:bottom w:val="none" w:sz="0" w:space="0" w:color="auto"/>
        <w:right w:val="none" w:sz="0" w:space="0" w:color="auto"/>
      </w:divBdr>
    </w:div>
    <w:div w:id="1655645383">
      <w:bodyDiv w:val="1"/>
      <w:marLeft w:val="0"/>
      <w:marRight w:val="0"/>
      <w:marTop w:val="0"/>
      <w:marBottom w:val="0"/>
      <w:divBdr>
        <w:top w:val="none" w:sz="0" w:space="0" w:color="auto"/>
        <w:left w:val="none" w:sz="0" w:space="0" w:color="auto"/>
        <w:bottom w:val="none" w:sz="0" w:space="0" w:color="auto"/>
        <w:right w:val="none" w:sz="0" w:space="0" w:color="auto"/>
      </w:divBdr>
    </w:div>
    <w:div w:id="1662662706">
      <w:bodyDiv w:val="1"/>
      <w:marLeft w:val="0"/>
      <w:marRight w:val="0"/>
      <w:marTop w:val="0"/>
      <w:marBottom w:val="0"/>
      <w:divBdr>
        <w:top w:val="none" w:sz="0" w:space="0" w:color="auto"/>
        <w:left w:val="none" w:sz="0" w:space="0" w:color="auto"/>
        <w:bottom w:val="none" w:sz="0" w:space="0" w:color="auto"/>
        <w:right w:val="none" w:sz="0" w:space="0" w:color="auto"/>
      </w:divBdr>
      <w:divsChild>
        <w:div w:id="1107503513">
          <w:marLeft w:val="547"/>
          <w:marRight w:val="0"/>
          <w:marTop w:val="96"/>
          <w:marBottom w:val="0"/>
          <w:divBdr>
            <w:top w:val="none" w:sz="0" w:space="0" w:color="auto"/>
            <w:left w:val="none" w:sz="0" w:space="0" w:color="auto"/>
            <w:bottom w:val="none" w:sz="0" w:space="0" w:color="auto"/>
            <w:right w:val="none" w:sz="0" w:space="0" w:color="auto"/>
          </w:divBdr>
        </w:div>
      </w:divsChild>
    </w:div>
    <w:div w:id="1675834962">
      <w:bodyDiv w:val="1"/>
      <w:marLeft w:val="0"/>
      <w:marRight w:val="0"/>
      <w:marTop w:val="0"/>
      <w:marBottom w:val="0"/>
      <w:divBdr>
        <w:top w:val="none" w:sz="0" w:space="0" w:color="auto"/>
        <w:left w:val="none" w:sz="0" w:space="0" w:color="auto"/>
        <w:bottom w:val="none" w:sz="0" w:space="0" w:color="auto"/>
        <w:right w:val="none" w:sz="0" w:space="0" w:color="auto"/>
      </w:divBdr>
    </w:div>
    <w:div w:id="1720744501">
      <w:bodyDiv w:val="1"/>
      <w:marLeft w:val="0"/>
      <w:marRight w:val="0"/>
      <w:marTop w:val="0"/>
      <w:marBottom w:val="0"/>
      <w:divBdr>
        <w:top w:val="none" w:sz="0" w:space="0" w:color="auto"/>
        <w:left w:val="none" w:sz="0" w:space="0" w:color="auto"/>
        <w:bottom w:val="none" w:sz="0" w:space="0" w:color="auto"/>
        <w:right w:val="none" w:sz="0" w:space="0" w:color="auto"/>
      </w:divBdr>
    </w:div>
    <w:div w:id="1724986295">
      <w:bodyDiv w:val="1"/>
      <w:marLeft w:val="0"/>
      <w:marRight w:val="0"/>
      <w:marTop w:val="0"/>
      <w:marBottom w:val="0"/>
      <w:divBdr>
        <w:top w:val="none" w:sz="0" w:space="0" w:color="auto"/>
        <w:left w:val="none" w:sz="0" w:space="0" w:color="auto"/>
        <w:bottom w:val="none" w:sz="0" w:space="0" w:color="auto"/>
        <w:right w:val="none" w:sz="0" w:space="0" w:color="auto"/>
      </w:divBdr>
    </w:div>
    <w:div w:id="1727872080">
      <w:bodyDiv w:val="1"/>
      <w:marLeft w:val="0"/>
      <w:marRight w:val="0"/>
      <w:marTop w:val="0"/>
      <w:marBottom w:val="0"/>
      <w:divBdr>
        <w:top w:val="none" w:sz="0" w:space="0" w:color="auto"/>
        <w:left w:val="none" w:sz="0" w:space="0" w:color="auto"/>
        <w:bottom w:val="none" w:sz="0" w:space="0" w:color="auto"/>
        <w:right w:val="none" w:sz="0" w:space="0" w:color="auto"/>
      </w:divBdr>
    </w:div>
    <w:div w:id="1789739343">
      <w:bodyDiv w:val="1"/>
      <w:marLeft w:val="0"/>
      <w:marRight w:val="0"/>
      <w:marTop w:val="0"/>
      <w:marBottom w:val="0"/>
      <w:divBdr>
        <w:top w:val="none" w:sz="0" w:space="0" w:color="auto"/>
        <w:left w:val="none" w:sz="0" w:space="0" w:color="auto"/>
        <w:bottom w:val="none" w:sz="0" w:space="0" w:color="auto"/>
        <w:right w:val="none" w:sz="0" w:space="0" w:color="auto"/>
      </w:divBdr>
    </w:div>
    <w:div w:id="1869373561">
      <w:bodyDiv w:val="1"/>
      <w:marLeft w:val="0"/>
      <w:marRight w:val="0"/>
      <w:marTop w:val="0"/>
      <w:marBottom w:val="0"/>
      <w:divBdr>
        <w:top w:val="none" w:sz="0" w:space="0" w:color="auto"/>
        <w:left w:val="none" w:sz="0" w:space="0" w:color="auto"/>
        <w:bottom w:val="none" w:sz="0" w:space="0" w:color="auto"/>
        <w:right w:val="none" w:sz="0" w:space="0" w:color="auto"/>
      </w:divBdr>
    </w:div>
    <w:div w:id="1893881111">
      <w:bodyDiv w:val="1"/>
      <w:marLeft w:val="0"/>
      <w:marRight w:val="0"/>
      <w:marTop w:val="0"/>
      <w:marBottom w:val="0"/>
      <w:divBdr>
        <w:top w:val="none" w:sz="0" w:space="0" w:color="auto"/>
        <w:left w:val="none" w:sz="0" w:space="0" w:color="auto"/>
        <w:bottom w:val="none" w:sz="0" w:space="0" w:color="auto"/>
        <w:right w:val="none" w:sz="0" w:space="0" w:color="auto"/>
      </w:divBdr>
    </w:div>
    <w:div w:id="1920601604">
      <w:bodyDiv w:val="1"/>
      <w:marLeft w:val="0"/>
      <w:marRight w:val="0"/>
      <w:marTop w:val="0"/>
      <w:marBottom w:val="0"/>
      <w:divBdr>
        <w:top w:val="none" w:sz="0" w:space="0" w:color="auto"/>
        <w:left w:val="none" w:sz="0" w:space="0" w:color="auto"/>
        <w:bottom w:val="none" w:sz="0" w:space="0" w:color="auto"/>
        <w:right w:val="none" w:sz="0" w:space="0" w:color="auto"/>
      </w:divBdr>
    </w:div>
    <w:div w:id="1971550679">
      <w:bodyDiv w:val="1"/>
      <w:marLeft w:val="0"/>
      <w:marRight w:val="0"/>
      <w:marTop w:val="0"/>
      <w:marBottom w:val="0"/>
      <w:divBdr>
        <w:top w:val="none" w:sz="0" w:space="0" w:color="auto"/>
        <w:left w:val="none" w:sz="0" w:space="0" w:color="auto"/>
        <w:bottom w:val="none" w:sz="0" w:space="0" w:color="auto"/>
        <w:right w:val="none" w:sz="0" w:space="0" w:color="auto"/>
      </w:divBdr>
    </w:div>
    <w:div w:id="1993288389">
      <w:bodyDiv w:val="1"/>
      <w:marLeft w:val="0"/>
      <w:marRight w:val="0"/>
      <w:marTop w:val="0"/>
      <w:marBottom w:val="0"/>
      <w:divBdr>
        <w:top w:val="none" w:sz="0" w:space="0" w:color="auto"/>
        <w:left w:val="none" w:sz="0" w:space="0" w:color="auto"/>
        <w:bottom w:val="none" w:sz="0" w:space="0" w:color="auto"/>
        <w:right w:val="none" w:sz="0" w:space="0" w:color="auto"/>
      </w:divBdr>
    </w:div>
    <w:div w:id="2052418663">
      <w:bodyDiv w:val="1"/>
      <w:marLeft w:val="0"/>
      <w:marRight w:val="0"/>
      <w:marTop w:val="0"/>
      <w:marBottom w:val="0"/>
      <w:divBdr>
        <w:top w:val="none" w:sz="0" w:space="0" w:color="auto"/>
        <w:left w:val="none" w:sz="0" w:space="0" w:color="auto"/>
        <w:bottom w:val="none" w:sz="0" w:space="0" w:color="auto"/>
        <w:right w:val="none" w:sz="0" w:space="0" w:color="auto"/>
      </w:divBdr>
    </w:div>
    <w:div w:id="2068069577">
      <w:bodyDiv w:val="1"/>
      <w:marLeft w:val="0"/>
      <w:marRight w:val="0"/>
      <w:marTop w:val="0"/>
      <w:marBottom w:val="0"/>
      <w:divBdr>
        <w:top w:val="none" w:sz="0" w:space="0" w:color="auto"/>
        <w:left w:val="none" w:sz="0" w:space="0" w:color="auto"/>
        <w:bottom w:val="none" w:sz="0" w:space="0" w:color="auto"/>
        <w:right w:val="none" w:sz="0" w:space="0" w:color="auto"/>
      </w:divBdr>
    </w:div>
    <w:div w:id="2073499177">
      <w:bodyDiv w:val="1"/>
      <w:marLeft w:val="0"/>
      <w:marRight w:val="0"/>
      <w:marTop w:val="0"/>
      <w:marBottom w:val="0"/>
      <w:divBdr>
        <w:top w:val="none" w:sz="0" w:space="0" w:color="auto"/>
        <w:left w:val="none" w:sz="0" w:space="0" w:color="auto"/>
        <w:bottom w:val="none" w:sz="0" w:space="0" w:color="auto"/>
        <w:right w:val="none" w:sz="0" w:space="0" w:color="auto"/>
      </w:divBdr>
    </w:div>
    <w:div w:id="2081172775">
      <w:bodyDiv w:val="1"/>
      <w:marLeft w:val="0"/>
      <w:marRight w:val="0"/>
      <w:marTop w:val="0"/>
      <w:marBottom w:val="0"/>
      <w:divBdr>
        <w:top w:val="none" w:sz="0" w:space="0" w:color="auto"/>
        <w:left w:val="none" w:sz="0" w:space="0" w:color="auto"/>
        <w:bottom w:val="none" w:sz="0" w:space="0" w:color="auto"/>
        <w:right w:val="none" w:sz="0" w:space="0" w:color="auto"/>
      </w:divBdr>
    </w:div>
    <w:div w:id="2086801886">
      <w:bodyDiv w:val="1"/>
      <w:marLeft w:val="0"/>
      <w:marRight w:val="0"/>
      <w:marTop w:val="0"/>
      <w:marBottom w:val="0"/>
      <w:divBdr>
        <w:top w:val="none" w:sz="0" w:space="0" w:color="auto"/>
        <w:left w:val="none" w:sz="0" w:space="0" w:color="auto"/>
        <w:bottom w:val="none" w:sz="0" w:space="0" w:color="auto"/>
        <w:right w:val="none" w:sz="0" w:space="0" w:color="auto"/>
      </w:divBdr>
    </w:div>
    <w:div w:id="2102793410">
      <w:bodyDiv w:val="1"/>
      <w:marLeft w:val="0"/>
      <w:marRight w:val="0"/>
      <w:marTop w:val="0"/>
      <w:marBottom w:val="0"/>
      <w:divBdr>
        <w:top w:val="none" w:sz="0" w:space="0" w:color="auto"/>
        <w:left w:val="none" w:sz="0" w:space="0" w:color="auto"/>
        <w:bottom w:val="none" w:sz="0" w:space="0" w:color="auto"/>
        <w:right w:val="none" w:sz="0" w:space="0" w:color="auto"/>
      </w:divBdr>
    </w:div>
    <w:div w:id="2107310903">
      <w:bodyDiv w:val="1"/>
      <w:marLeft w:val="0"/>
      <w:marRight w:val="0"/>
      <w:marTop w:val="0"/>
      <w:marBottom w:val="0"/>
      <w:divBdr>
        <w:top w:val="none" w:sz="0" w:space="0" w:color="auto"/>
        <w:left w:val="none" w:sz="0" w:space="0" w:color="auto"/>
        <w:bottom w:val="none" w:sz="0" w:space="0" w:color="auto"/>
        <w:right w:val="none" w:sz="0" w:space="0" w:color="auto"/>
      </w:divBdr>
    </w:div>
    <w:div w:id="2145006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ina.ruqayyah@unj.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co.fernando@unj.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Ard19</b:Tag>
    <b:SourceType>JournalArticle</b:SourceType>
    <b:Guid>{5C78E471-2123-C241-9B7B-66E43BD91A69}</b:Guid>
    <b:Title>Kajian Teori Komunikasi Lingkungan Dalam Penelitian Pengelolaan Sumber Daya Alam</b:Title>
    <b:JournalName>Perspektif Komunikasi</b:JournalName>
    <b:Year>2019</b:Year>
    <b:Pages>1-20</b:Pages>
    <b:Author>
      <b:Author>
        <b:NameList>
          <b:Person>
            <b:Last>Ardian</b:Last>
            <b:First>Heldi Yunan</b:First>
          </b:Person>
        </b:NameList>
      </b:Author>
    </b:Author>
    <b:RefOrder>2</b:RefOrder>
  </b:Source>
  <b:Source>
    <b:Tag>Mol07</b:Tag>
    <b:SourceType>Book</b:SourceType>
    <b:Guid>{B10D39DB-C870-1D4B-8096-DBA52E89F1E1}</b:Guid>
    <b:Title>Metodologi Penelitian Kualitatif</b:Title>
    <b:Publisher>PT. Remaja Rosdakarya</b:Publisher>
    <b:City>Bandung</b:City>
    <b:Year>2007</b:Year>
    <b:Author>
      <b:Author>
        <b:NameList>
          <b:Person>
            <b:Last>Moleong</b:Last>
            <b:First>J. Lexy.</b:First>
          </b:Person>
        </b:NameList>
      </b:Author>
    </b:Author>
    <b:RefOrder>10</b:RefOrder>
  </b:Source>
  <b:Source>
    <b:Tag>Ana92</b:Tag>
    <b:SourceType>Book</b:SourceType>
    <b:Guid>{22137CDE-7914-A942-BC7E-03669171D5E1}</b:Guid>
    <b:Title>Analisis data Kualitatif: Buku sumber tentang metode-metode baru</b:Title>
    <b:Year>1992</b:Year>
    <b:Author>
      <b:Author>
        <b:NameList>
          <b:Person>
            <b:Last>Miles</b:Last>
            <b:First>Matthew</b:First>
          </b:Person>
          <b:Person>
            <b:Last>Huberman</b:Last>
            <b:First>A. Michael.</b:First>
          </b:Person>
        </b:NameList>
      </b:Author>
    </b:Author>
    <b:City>Jakarta</b:City>
    <b:Publisher>UI Press</b:Publisher>
    <b:RefOrder>16</b:RefOrder>
  </b:Source>
  <b:Source>
    <b:Tag>Cre981</b:Tag>
    <b:SourceType>Book</b:SourceType>
    <b:Guid>{47F7E6F1-D287-7D47-9B57-81E202709828}</b:Guid>
    <b:Title>Qualitative Inquiry and Research Design: Choosing among Five Tradition</b:Title>
    <b:City>London</b:City>
    <b:Publisher>Sage Publications</b:Publisher>
    <b:Year>1998</b:Year>
    <b:Author>
      <b:Author>
        <b:NameList>
          <b:Person>
            <b:Last>Creswell</b:Last>
            <b:First>J.W.</b:First>
          </b:Person>
        </b:NameList>
      </b:Author>
    </b:Author>
    <b:RefOrder>11</b:RefOrder>
  </b:Source>
  <b:Source>
    <b:Tag>Sug152</b:Tag>
    <b:SourceType>Book</b:SourceType>
    <b:Guid>{2B83642F-1653-954E-84CB-BB97C3FA96A4}</b:Guid>
    <b:Title>Metode Penelitian Manajemen: Pendekatan Kuantitatif, Kualitatif, Kombinasi (Mixed Methods), Penelitian Tindakan (Action Research), Penelitian Evaluasi</b:Title>
    <b:City>Bandung</b:City>
    <b:Publisher>Alfabeta</b:Publisher>
    <b:Year>2015</b:Year>
    <b:Author>
      <b:Author>
        <b:NameList>
          <b:Person>
            <b:Last>Sugiyono</b:Last>
          </b:Person>
        </b:NameList>
      </b:Author>
    </b:Author>
    <b:RefOrder>12</b:RefOrder>
  </b:Source>
  <b:Source>
    <b:Tag>Naw96</b:Tag>
    <b:SourceType>Book</b:SourceType>
    <b:Guid>{E7DCF6DB-AA69-634B-BF75-D9BE83F24B31}</b:Guid>
    <b:Title>Penelitian Terapan</b:Title>
    <b:City>Yogyakarta</b:City>
    <b:Publisher>Gajah Mada University Press</b:Publisher>
    <b:Year>1996</b:Year>
    <b:Author>
      <b:Author>
        <b:NameList>
          <b:Person>
            <b:Last>Nawawi</b:Last>
            <b:First>Hadari</b:First>
          </b:Person>
          <b:Person>
            <b:Last>Martini</b:Last>
            <b:First>Mini</b:First>
          </b:Person>
        </b:NameList>
      </b:Author>
    </b:Author>
    <b:RefOrder>13</b:RefOrder>
  </b:Source>
  <b:Source>
    <b:Tag>Kri124</b:Tag>
    <b:SourceType>Book</b:SourceType>
    <b:Guid>{6FF193E7-E056-6641-A94D-141A3316BAA6}</b:Guid>
    <b:Title>Teknik Praktis: Riset Komunikasi</b:Title>
    <b:City>Jakarta</b:City>
    <b:Publisher>Kencana</b:Publisher>
    <b:Year>2012</b:Year>
    <b:Author>
      <b:Author>
        <b:NameList>
          <b:Person>
            <b:Last>Krisyantono</b:Last>
            <b:First>Rachmat</b:First>
          </b:Person>
        </b:NameList>
      </b:Author>
    </b:Author>
    <b:RefOrder>14</b:RefOrder>
  </b:Source>
  <b:Source>
    <b:Tag>Sya213</b:Tag>
    <b:SourceType>JournalArticle</b:SourceType>
    <b:Guid>{6C9947AD-E7A3-8F4E-B10D-6F4593D049ED}</b:Guid>
    <b:Title>Penggunaan Media Sosial Facebook Sebagai Sarana Komunikasi Dan Informasi Di Kalangan Remaja (Studi Deskriptif Pada Remaja di Alamanda Regency Blok M.5 Rt 005/027)</b:Title>
    <b:Year>2021</b:Year>
    <b:Author>
      <b:Author>
        <b:NameList>
          <b:Person>
            <b:Last>Syafrina</b:Last>
            <b:First>Annisa Eka</b:First>
          </b:Person>
          <b:Person>
            <b:Last>Alfarisi</b:Last>
            <b:First>Muhammad Rifai</b:First>
          </b:Person>
        </b:NameList>
      </b:Author>
    </b:Author>
    <b:JournalName>Komunikasi, Masyarakat, dan Keamanan</b:JournalName>
    <b:Pages>17-28</b:Pages>
    <b:RefOrder>15</b:RefOrder>
  </b:Source>
  <b:Source>
    <b:Tag>Qur181</b:Tag>
    <b:SourceType>JournalArticle</b:SourceType>
    <b:Guid>{9275F160-F576-274A-9411-353172D44A80}</b:Guid>
    <b:Title>eWom Pada Generasi Z di Sosial Media</b:Title>
    <b:JournalName>Jurnal Manajemen Daya Saing</b:JournalName>
    <b:Year>2018</b:Year>
    <b:Volume>20</b:Volume>
    <b:Issue>2</b:Issue>
    <b:Pages>70-80</b:Pages>
    <b:Author>
      <b:Author>
        <b:NameList>
          <b:Person>
            <b:Last>Qurniawati</b:Last>
            <b:First>Rina Sari</b:First>
          </b:Person>
          <b:Person>
            <b:Last>Nurohman</b:Last>
            <b:First>Yulfan Arif</b:First>
          </b:Person>
        </b:NameList>
      </b:Author>
    </b:Author>
    <b:RefOrder>7</b:RefOrder>
  </b:Source>
  <b:Source>
    <b:Tag>Puj211</b:Tag>
    <b:SourceType>JournalArticle</b:SourceType>
    <b:Guid>{904AF428-05C0-C247-958C-AC1F486407ED}</b:Guid>
    <b:Title>Media Sosial Sebagai Media Pembelajaran Bagi Generasi Z</b:Title>
    <b:JournalName>Didaché: Journal of Christian Education</b:JournalName>
    <b:Year>2021</b:Year>
    <b:Volume>2</b:Volume>
    <b:Issue>1</b:Issue>
    <b:Pages>1-19</b:Pages>
    <b:Author>
      <b:Author>
        <b:NameList>
          <b:Person>
            <b:Last>Pujiono</b:Last>
            <b:First>Adrias</b:First>
          </b:Person>
        </b:NameList>
      </b:Author>
    </b:Author>
    <b:RefOrder>8</b:RefOrder>
  </b:Source>
  <b:Source>
    <b:Tag>Sya236</b:Tag>
    <b:SourceType>JournalArticle</b:SourceType>
    <b:Guid>{8B1930D2-4869-4B4B-8CEA-FBA99222B54E}</b:Guid>
    <b:Title>Generation Z in Responding to Communication Trends on Instagram</b:Title>
    <b:JournalName>Semantik Journal of Social Media Communication and Journalism</b:JournalName>
    <b:Year>2023</b:Year>
    <b:Volume>1</b:Volume>
    <b:Issue>2</b:Issue>
    <b:Pages>112-123</b:Pages>
    <b:Author>
      <b:Author>
        <b:NameList>
          <b:Person>
            <b:Last>Syafrina</b:Last>
            <b:First>Annisa Eka</b:First>
          </b:Person>
        </b:NameList>
      </b:Author>
    </b:Author>
    <b:RefOrder>9</b:RefOrder>
  </b:Source>
  <b:Source>
    <b:Tag>Lis23</b:Tag>
    <b:SourceType>JournalArticle</b:SourceType>
    <b:Guid>{8BAC6B6B-7D5F-9E46-AE6D-6BCFFDBCDE26}</b:Guid>
    <b:Title>Kajian Permasalahan Pengelolaan Sampah di TPST Bantargebang Kota Bekasi (Studi Kasus PLTSa Merah Putih)</b:Title>
    <b:JournalName>Sinasis</b:JournalName>
    <b:Year>2023</b:Year>
    <b:Volume>4</b:Volume>
    <b:Issue>1</b:Issue>
    <b:Pages>75-82</b:Pages>
    <b:Author>
      <b:Author>
        <b:NameList>
          <b:Person>
            <b:Last>Listiyani</b:Last>
            <b:First>Qory</b:First>
          </b:Person>
          <b:Person>
            <b:Last>Khasanah</b:Last>
            <b:First>Winda Nur</b:First>
          </b:Person>
          <b:Person>
            <b:Last>Purwanti</b:Last>
            <b:First>Popi</b:First>
          </b:Person>
        </b:NameList>
      </b:Author>
    </b:Author>
    <b:RefOrder>1</b:RefOrder>
  </b:Source>
  <b:Source>
    <b:Tag>Wah17</b:Tag>
    <b:SourceType>JournalArticle</b:SourceType>
    <b:Guid>{7D7FD01A-506D-AB42-9080-C9E34D5F7F1B}</b:Guid>
    <b:Title>Strategi Komunikasi Lingkungan Dalam Membangun Kepedulian Masyarakat Terhadap Lingkungan</b:Title>
    <b:Year>2017</b:Year>
    <b:Volume>1</b:Volume>
    <b:Pages>130-134</b:Pages>
    <b:Author>
      <b:Author>
        <b:NameList>
          <b:Person>
            <b:Last>Wahyudin</b:Last>
            <b:First>Uud</b:First>
          </b:Person>
        </b:NameList>
      </b:Author>
    </b:Author>
    <b:JournalName>Jurnal Common</b:JournalName>
    <b:Issue>2</b:Issue>
    <b:RefOrder>3</b:RefOrder>
  </b:Source>
  <b:Source>
    <b:Tag>Ais24</b:Tag>
    <b:SourceType>JournalArticle</b:SourceType>
    <b:Guid>{13F970D5-9F5E-4149-8676-42F92467435D}</b:Guid>
    <b:Title>Pengaruh Pandawara Grup Di Sosial Media Terhadap Literasi Kebersihan Lingkungan Pada Kalangan Mahasiswa Di Universitas Pendidikan Indonesia</b:Title>
    <b:JournalName>Jurnal Pengabdian Kepada Masyarakat mandiri (JPMM)</b:JournalName>
    <b:Year>2024</b:Year>
    <b:Volume>2</b:Volume>
    <b:Issue>2</b:Issue>
    <b:Pages>87-97</b:Pages>
    <b:Author>
      <b:Author>
        <b:NameList>
          <b:Person>
            <b:Last>Aisiyah</b:Last>
            <b:First>Chintya Noer</b:First>
          </b:Person>
          <b:Person>
            <b:Last>A’vun</b:Last>
            <b:First>Qurrota</b:First>
          </b:Person>
          <b:Person>
            <b:Last>Royani</b:Last>
            <b:First>Siti Wulan</b:First>
          </b:Person>
          <b:Person>
            <b:Last>Haq</b:Last>
            <b:First>Wafiyyan Mu’azzirul</b:First>
          </b:Person>
        </b:NameList>
      </b:Author>
    </b:Author>
    <b:RefOrder>4</b:RefOrder>
  </b:Source>
  <b:Source>
    <b:Tag>Pus23</b:Tag>
    <b:SourceType>InternetSite</b:SourceType>
    <b:Guid>{B1642969-93A4-A346-85DA-E2BC5ABAFA88}</b:Guid>
    <b:Title>Humaniora</b:Title>
    <b:Year>2023</b:Year>
    <b:Month>7</b:Month>
    <b:Day>11</b:Day>
    <b:InternetSiteTitle>Media Indonesia</b:InternetSiteTitle>
    <b:URL>https://mediaindonesia.com/humaniora/595815/pandawara-group-gugah-kesadaran-publik-akan-pentingnya-menjaga-lingkungan</b:URL>
    <b:Author>
      <b:Author>
        <b:NameList>
          <b:Person>
            <b:Last>Puspa</b:Last>
            <b:First>Atalya</b:First>
          </b:Person>
        </b:NameList>
      </b:Author>
    </b:Author>
    <b:RefOrder>6</b:RefOrder>
  </b:Source>
  <b:Source>
    <b:Tag>Rah24</b:Tag>
    <b:SourceType>JournalArticle</b:SourceType>
    <b:Guid>{83B1CE7A-8B36-5D43-972B-EE2ADDDA7200}</b:Guid>
    <b:Title>Audit Komunikasi Media Sosial Pandawara Group dalam Melakukan Kampanye Peduli Lingkungan</b:Title>
    <b:Year>2024</b:Year>
    <b:JournalName>Journal of Media and Communication Science</b:JournalName>
    <b:Volume>7</b:Volume>
    <b:Issue>1</b:Issue>
    <b:Pages>7-18</b:Pages>
    <b:Author>
      <b:Author>
        <b:NameList>
          <b:Person>
            <b:Last>Rahman</b:Last>
            <b:First>Ahmad Rofiki</b:First>
          </b:Person>
          <b:Person>
            <b:Last>Astriani</b:Last>
            <b:First>Arnia</b:First>
          </b:Person>
        </b:NameList>
      </b:Author>
    </b:Author>
    <b:RefOrder>5</b:RefOrder>
  </b:Source>
  <b:Source>
    <b:Tag>Yar12</b:Tag>
    <b:SourceType>JournalArticle</b:SourceType>
    <b:Guid>{4B3B89F7-0330-498D-916B-B74913CA3CD8}</b:Guid>
    <b:Author>
      <b:Author>
        <b:NameList>
          <b:Person>
            <b:Last>Yacoub</b:Last>
            <b:First>Yarlina</b:First>
          </b:Person>
        </b:NameList>
      </b:Author>
    </b:Author>
    <b:Title>Pengaruh Tingkat Pengangguran terhadap Tingkat Kemiskinan Kabupaten/Kota di Provinsi Kalimantan Barat</b:Title>
    <b:JournalName>Jurnal EKSOS Volume 8, Nomor 3</b:JournalName>
    <b:Year>Oktober 2012</b:Year>
    <b:Pages>176 - 185</b:Pages>
    <b:RefOrder>1</b:RefOrder>
  </b:Source>
  <b:Source>
    <b:Tag>Shi15</b:Tag>
    <b:SourceType>JournalArticle</b:SourceType>
    <b:Guid>{6FAB59F2-DC32-4EFE-AE50-51A240482C1D}</b:Guid>
    <b:Author>
      <b:Author>
        <b:NameList>
          <b:Person>
            <b:Last>Shiron Jade September</b:Last>
            <b:First>Edna</b:First>
            <b:Middle>Grace Rich and Nicolette Vanessa Roman</b:Middle>
          </b:Person>
        </b:NameList>
      </b:Author>
    </b:Author>
    <b:Title>The role of parenting styles and socio-economic status in parents’ knowledge of child development</b:Title>
    <b:JournalName>Early Child Development and Care</b:JournalName>
    <b:Year>2015</b:Year>
    <b:Pages>1-19</b:Pages>
    <b:RefOrder>2</b:RefOrder>
  </b:Source>
  <b:Source>
    <b:Tag>Nin24</b:Tag>
    <b:SourceType>InternetSite</b:SourceType>
    <b:Guid>{6D0AF969-D2E0-4A6C-89D7-A03D0B45B196}</b:Guid>
    <b:Title>https://www.kompas.id</b:Title>
    <b:Year>2024</b:Year>
    <b:Month>Maret</b:Month>
    <b:Day>10</b:Day>
    <b:Author>
      <b:Author>
        <b:NameList>
          <b:Person>
            <b:Last>Anugrahanto</b:Last>
            <b:First>Nino</b:First>
            <b:Middle>Citra</b:Middle>
          </b:Person>
        </b:NameList>
      </b:Author>
    </b:Author>
    <b:InternetSiteTitle>kompas.id</b:InternetSiteTitle>
    <b:URL>https://www.kompas.id/baca/nusantara/2024/03/10/deretan-kasus-bunuh-diri-sekeluarga-dari-depresi-hingga-tekanan-ekonomi</b:URL>
    <b:RefOrder>3</b:RefOrder>
  </b:Source>
  <b:Source>
    <b:Tag>Muh17</b:Tag>
    <b:SourceType>JournalArticle</b:SourceType>
    <b:Guid>{16CB0597-81DE-429D-92AC-0F10DD822196}</b:Guid>
    <b:Title>PENGARUHFAKTOR SOSIAL EKONOMI ORANG TUA TERHADAP MINAT MELANJUTKAN PENDIDIKAN ANAK DI DESA WUNSE JAYA KECAMATAN WAWONII TENGGARA KABUPATEN KONAWE KEPULAUAN</b:Title>
    <b:Year>2017</b:Year>
    <b:Author>
      <b:Author>
        <b:NameList>
          <b:Person>
            <b:Last>Muhammad</b:Last>
            <b:First>Hasniyati</b:First>
            <b:Middle>Gani Ali, danArifin</b:Middle>
          </b:Person>
        </b:NameList>
      </b:Author>
    </b:Author>
    <b:JournalName>Jurnal Al-Ta’dib Vol.10 No.1,Januari-Juni</b:JournalName>
    <b:Pages>163</b:Pages>
    <b:RefOrder>4</b:RefOrder>
  </b:Source>
  <b:Source>
    <b:Tag>Fua23</b:Tag>
    <b:SourceType>JournalArticle</b:SourceType>
    <b:Guid>{06479FD2-CCF3-4066-AA88-0DABABFCA7AF}</b:Guid>
    <b:Author>
      <b:Author>
        <b:NameList>
          <b:Person>
            <b:Last>Fuat Hasanudin</b:Last>
            <b:First>Yuke</b:First>
            <b:Middle>Yolanda, Muhammad Zahrie Nurhadiansyah</b:Middle>
          </b:Person>
        </b:NameList>
      </b:Author>
    </b:Author>
    <b:Title>KASUS BUNUH DIRI DAN PERAN KELUARGA: STUDI PANDANGAN AKADEMISI HUKUM KELUARGA DAN PSIKOLOGI</b:Title>
    <b:JournalName>Jurnal Almawarid - Jurnal Syari'ah dan Hukum</b:JournalName>
    <b:Year>2023</b:Year>
    <b:Pages>173-191</b:Pages>
    <b:RefOrder>5</b:RefOrder>
  </b:Source>
  <b:Source>
    <b:Tag>Her19</b:Tag>
    <b:SourceType>JournalArticle</b:SourceType>
    <b:Guid>{57488147-1431-41C3-9A50-C1286B0FF4E1}</b:Guid>
    <b:Author>
      <b:Author>
        <b:NameList>
          <b:Person>
            <b:Last>Ngewa</b:Last>
            <b:First>Herviana</b:First>
            <b:Middle>Muarifah</b:Middle>
          </b:Person>
        </b:NameList>
      </b:Author>
    </b:Author>
    <b:Title>PERAN ORANG TUA DALAM PENGASUHAN ANAK</b:Title>
    <b:JournalName>Educhild: Journal of Early Childhood Education Vol.1 No.1</b:JournalName>
    <b:Year>2019</b:Year>
    <b:Pages>96 - 115</b:Pages>
    <b:RefOrder>6</b:RefOrder>
  </b:Source>
  <b:Source>
    <b:Tag>Lus18</b:Tag>
    <b:SourceType>JournalArticle</b:SourceType>
    <b:Guid>{B67A559C-A9A1-4B99-9E74-983B753C87BA}</b:Guid>
    <b:Author>
      <b:Author>
        <b:NameList>
          <b:Person>
            <b:Last>Lusiana Surya Widiani</b:Last>
            <b:First>Wawan</b:First>
            <b:Middle>Darmawan, Tarunasena Ma’mur</b:Middle>
          </b:Person>
        </b:NameList>
      </b:Author>
    </b:Author>
    <b:Title>PENERAPAN MEDIA FILM SEBAGAI SUMBER BELAJAR UNTUK MENINGKATKAN KEMAMPUAN MENGOLAH INFORMASI SISWA DALAM PEMBELAJARAN SEJARAH</b:Title>
    <b:JournalName>FACTUM: JURNAL SEJARAH DAN PENDIDIKAN SEJARAH, VOL. 7 NO. 1</b:JournalName>
    <b:Year>2018</b:Year>
    <b:Pages>123-132</b:Pages>
    <b:RefOrder>7</b:RefOrder>
  </b:Source>
  <b:Source>
    <b:Tag>MFa22</b:Tag>
    <b:SourceType>JournalArticle</b:SourceType>
    <b:Guid>{4B6C495A-4E09-492D-8CD7-E02264087BA5}</b:Guid>
    <b:Author>
      <b:Author>
        <b:NameList>
          <b:Person>
            <b:Last>M. Fadlillah</b:Last>
            <b:First>Syifa</b:First>
            <b:Middle>Fauziah</b:Middle>
          </b:Person>
        </b:NameList>
      </b:Author>
    </b:Author>
    <b:Title>Analysis of Diana Baumrind's Parenting Style on Early Childhood Development</b:Title>
    <b:JournalName>Al-Ishlah: Jurnal Pendidikan Vol.14 - 2</b:JournalName>
    <b:Year>2022</b:Year>
    <b:Pages>2127 - 2134</b:Pages>
    <b:RefOrder>8</b:RefOrder>
  </b:Source>
  <b:Source>
    <b:Tag>Che15</b:Tag>
    <b:SourceType>JournalArticle</b:SourceType>
    <b:Guid>{57A39F94-4FBE-495F-8195-6A1214E92AB8}</b:Guid>
    <b:Author>
      <b:Author>
        <b:NameList>
          <b:Person>
            <b:Last>Chelsea Sulastry Sianipar</b:Last>
            <b:First>Dian</b:First>
            <b:Middle>Ratna Sawitri</b:Middle>
          </b:Person>
        </b:NameList>
      </b:Author>
    </b:Author>
    <b:Title>POLA ASUH OTORITATIF ORANG TUA DAN EFIKASI DIRI DALAM MENGAMBIL KEPUTUSAN KARIR PADA MAHASISWA TAHUN PERTAMA</b:Title>
    <b:JournalName>Jurnal Empati, Volume 4(4)</b:JournalName>
    <b:Year>2015</b:Year>
    <b:Pages>1-7</b:Pages>
    <b:RefOrder>9</b:RefOrder>
  </b:Source>
  <b:Source>
    <b:Tag>Nur20</b:Tag>
    <b:SourceType>JournalArticle</b:SourceType>
    <b:Guid>{E8A02C48-7A42-48FA-9358-1C364CCB1195}</b:Guid>
    <b:Author>
      <b:Author>
        <b:NameList>
          <b:Person>
            <b:Last>Bahrain</b:Last>
            <b:First>Nur</b:First>
            <b:Middle>Evira Anggrainy</b:Middle>
          </b:Person>
        </b:NameList>
      </b:Author>
    </b:Author>
    <b:Title>POLA ASUH OTORITATIF TERHADAP REMAJA</b:Title>
    <b:JournalName>JIVA: Journal of Behaviour and Mental Health Vol. 1, No. 1</b:JournalName>
    <b:Year>2020</b:Year>
    <b:Pages>1 - 7</b:Pages>
    <b:RefOrder>10</b:RefOrder>
  </b:Source>
  <b:Source>
    <b:Tag>Mas24</b:Tag>
    <b:SourceType>JournalArticle</b:SourceType>
    <b:Guid>{69C13C67-3B99-479A-A2EF-DB4D908A40D9}</b:Guid>
    <b:Author>
      <b:Author>
        <b:NameList>
          <b:Person>
            <b:Last>Masri</b:Last>
          </b:Person>
        </b:NameList>
      </b:Author>
    </b:Author>
    <b:Title>KONSEP KELUARGA HARMONIS DALAM BINGKAI SAKINAH, MAWADDAH, WARAHMAH</b:Title>
    <b:JournalName>Jurnal Tahqiqa, Vol. 18, No. 1</b:JournalName>
    <b:Year>2024</b:Year>
    <b:Pages>109 - 123</b:Pages>
    <b:RefOrder>11</b:RefOrder>
  </b:Source>
</b:Sources>
</file>

<file path=customXml/itemProps1.xml><?xml version="1.0" encoding="utf-8"?>
<ds:datastoreItem xmlns:ds="http://schemas.openxmlformats.org/officeDocument/2006/customXml" ds:itemID="{9C359C0D-3A36-4D23-8897-2ED6CCEEC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18</Pages>
  <Words>5464</Words>
  <Characters>31146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Annisa Eka Syafrina</dc:creator>
  <cp:keywords/>
  <dc:description/>
  <cp:lastModifiedBy>Microsoft Office User</cp:lastModifiedBy>
  <cp:revision>7</cp:revision>
  <dcterms:created xsi:type="dcterms:W3CDTF">2025-12-15T08:24:00Z</dcterms:created>
  <dcterms:modified xsi:type="dcterms:W3CDTF">2025-12-16T05:30:00Z</dcterms:modified>
</cp:coreProperties>
</file>